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1EDA" w14:textId="77777777" w:rsidR="00DB5CF4" w:rsidRDefault="00DB5CF4" w:rsidP="00B97E44">
      <w:pPr>
        <w:widowControl w:val="0"/>
        <w:autoSpaceDE w:val="0"/>
        <w:autoSpaceDN w:val="0"/>
        <w:adjustRightInd w:val="0"/>
        <w:spacing w:after="120"/>
        <w:ind w:right="-1731"/>
        <w:rPr>
          <w:rFonts w:ascii="Arial" w:hAnsi="Arial" w:cs="Arial"/>
          <w:b/>
          <w:bCs/>
          <w:sz w:val="32"/>
          <w:szCs w:val="32"/>
        </w:rPr>
      </w:pPr>
    </w:p>
    <w:p w14:paraId="671150BC" w14:textId="77777777" w:rsidR="00394632" w:rsidRPr="00310388" w:rsidRDefault="0032551F" w:rsidP="00525473">
      <w:pPr>
        <w:widowControl w:val="0"/>
        <w:autoSpaceDE w:val="0"/>
        <w:autoSpaceDN w:val="0"/>
        <w:adjustRightInd w:val="0"/>
        <w:spacing w:after="120"/>
        <w:ind w:right="-2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Investments in</w:t>
      </w:r>
      <w:r w:rsidR="00216EBB">
        <w:rPr>
          <w:rFonts w:ascii="Arial" w:hAnsi="Arial" w:cs="Arial"/>
          <w:b/>
          <w:bCs/>
          <w:sz w:val="32"/>
          <w:szCs w:val="32"/>
        </w:rPr>
        <w:t xml:space="preserve"> the future hold</w:t>
      </w:r>
      <w:r w:rsidR="00310388" w:rsidRPr="00310388">
        <w:rPr>
          <w:rFonts w:ascii="Arial" w:hAnsi="Arial" w:cs="Arial"/>
          <w:b/>
          <w:bCs/>
          <w:sz w:val="32"/>
          <w:szCs w:val="32"/>
        </w:rPr>
        <w:t xml:space="preserve"> grea</w:t>
      </w:r>
      <w:r w:rsidR="00310388">
        <w:rPr>
          <w:rFonts w:ascii="Arial" w:hAnsi="Arial" w:cs="Arial"/>
          <w:b/>
          <w:bCs/>
          <w:sz w:val="32"/>
          <w:szCs w:val="32"/>
        </w:rPr>
        <w:t>t potent</w:t>
      </w:r>
      <w:r w:rsidR="00310388" w:rsidRPr="00310388">
        <w:rPr>
          <w:rFonts w:ascii="Arial" w:hAnsi="Arial" w:cs="Arial"/>
          <w:b/>
          <w:bCs/>
          <w:sz w:val="32"/>
          <w:szCs w:val="32"/>
        </w:rPr>
        <w:t>ial</w:t>
      </w:r>
      <w:r w:rsidR="00216EBB">
        <w:rPr>
          <w:rFonts w:ascii="Arial" w:hAnsi="Arial" w:cs="Arial"/>
          <w:b/>
          <w:bCs/>
          <w:sz w:val="32"/>
          <w:szCs w:val="32"/>
        </w:rPr>
        <w:t xml:space="preserve"> </w:t>
      </w:r>
      <w:r w:rsidR="00310388">
        <w:rPr>
          <w:rFonts w:ascii="Arial" w:hAnsi="Arial" w:cs="Arial"/>
          <w:b/>
          <w:bCs/>
          <w:sz w:val="32"/>
          <w:szCs w:val="32"/>
        </w:rPr>
        <w:t>f</w:t>
      </w:r>
      <w:r w:rsidR="00216EBB">
        <w:rPr>
          <w:rFonts w:ascii="Arial" w:hAnsi="Arial" w:cs="Arial"/>
          <w:b/>
          <w:bCs/>
          <w:sz w:val="32"/>
          <w:szCs w:val="32"/>
        </w:rPr>
        <w:t>or the leasing industry</w:t>
      </w:r>
    </w:p>
    <w:p w14:paraId="1E531756" w14:textId="77777777" w:rsidR="001C0F8D" w:rsidRPr="00310388" w:rsidRDefault="00310388" w:rsidP="00713107">
      <w:pPr>
        <w:pStyle w:val="Listenabsatz"/>
        <w:widowControl w:val="0"/>
        <w:numPr>
          <w:ilvl w:val="0"/>
          <w:numId w:val="16"/>
        </w:numPr>
        <w:autoSpaceDE w:val="0"/>
        <w:autoSpaceDN w:val="0"/>
        <w:adjustRightInd w:val="0"/>
        <w:ind w:left="709" w:right="-29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310388">
        <w:rPr>
          <w:rFonts w:ascii="Arial" w:hAnsi="Arial" w:cs="Arial"/>
          <w:b/>
          <w:bCs/>
          <w:sz w:val="22"/>
          <w:szCs w:val="22"/>
        </w:rPr>
        <w:t>In 2021 l</w:t>
      </w:r>
      <w:r w:rsidR="001C0F8D" w:rsidRPr="00310388">
        <w:rPr>
          <w:rFonts w:ascii="Arial" w:hAnsi="Arial" w:cs="Arial"/>
          <w:b/>
          <w:bCs/>
          <w:sz w:val="22"/>
          <w:szCs w:val="22"/>
        </w:rPr>
        <w:t>easing</w:t>
      </w:r>
      <w:r w:rsidRPr="00310388">
        <w:rPr>
          <w:rFonts w:ascii="Arial" w:hAnsi="Arial" w:cs="Arial"/>
          <w:b/>
          <w:bCs/>
          <w:sz w:val="22"/>
          <w:szCs w:val="22"/>
        </w:rPr>
        <w:t xml:space="preserve"> companies financed 72 billion euro’s worth of </w:t>
      </w:r>
      <w:r>
        <w:rPr>
          <w:rFonts w:ascii="Arial" w:hAnsi="Arial" w:cs="Arial"/>
          <w:b/>
          <w:bCs/>
          <w:sz w:val="22"/>
          <w:szCs w:val="22"/>
        </w:rPr>
        <w:t xml:space="preserve">future-oriented </w:t>
      </w:r>
      <w:r w:rsidRPr="00310388">
        <w:rPr>
          <w:rFonts w:ascii="Arial" w:hAnsi="Arial" w:cs="Arial"/>
          <w:b/>
          <w:bCs/>
          <w:sz w:val="22"/>
          <w:szCs w:val="22"/>
        </w:rPr>
        <w:t>investment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365D87">
        <w:rPr>
          <w:rFonts w:ascii="Arial" w:hAnsi="Arial" w:cs="Arial"/>
          <w:b/>
          <w:bCs/>
          <w:sz w:val="22"/>
          <w:szCs w:val="22"/>
        </w:rPr>
        <w:t xml:space="preserve"> in Germany</w:t>
      </w:r>
      <w:r>
        <w:rPr>
          <w:rFonts w:ascii="Arial" w:hAnsi="Arial" w:cs="Arial"/>
          <w:b/>
          <w:bCs/>
          <w:sz w:val="22"/>
          <w:szCs w:val="22"/>
        </w:rPr>
        <w:t xml:space="preserve"> (+3.4 percent)</w:t>
      </w:r>
    </w:p>
    <w:p w14:paraId="74B30C51" w14:textId="77777777" w:rsidR="00251ECC" w:rsidRPr="00365D87" w:rsidRDefault="00216EBB" w:rsidP="005F300A">
      <w:pPr>
        <w:pStyle w:val="Listenabsatz"/>
        <w:widowControl w:val="0"/>
        <w:numPr>
          <w:ilvl w:val="0"/>
          <w:numId w:val="16"/>
        </w:numPr>
        <w:autoSpaceDE w:val="0"/>
        <w:autoSpaceDN w:val="0"/>
        <w:adjustRightInd w:val="0"/>
        <w:ind w:right="-170" w:hanging="578"/>
        <w:contextualSpacing w:val="0"/>
        <w:rPr>
          <w:rFonts w:ascii="Arial" w:hAnsi="Arial" w:cs="Arial"/>
          <w:color w:val="444444"/>
          <w:spacing w:val="6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>Leasing industry finances</w:t>
      </w:r>
      <w:r w:rsidR="0032551F">
        <w:rPr>
          <w:rFonts w:ascii="Arial" w:hAnsi="Arial" w:cs="Arial"/>
          <w:b/>
          <w:bCs/>
          <w:sz w:val="22"/>
          <w:szCs w:val="22"/>
        </w:rPr>
        <w:t xml:space="preserve"> more than a </w:t>
      </w:r>
      <w:r w:rsidR="00365D87" w:rsidRPr="00365D87">
        <w:rPr>
          <w:rFonts w:ascii="Arial" w:hAnsi="Arial" w:cs="Arial"/>
          <w:b/>
          <w:bCs/>
          <w:sz w:val="22"/>
          <w:szCs w:val="22"/>
        </w:rPr>
        <w:t>quarter of all i</w:t>
      </w:r>
      <w:r w:rsidR="00365D87">
        <w:rPr>
          <w:rFonts w:ascii="Arial" w:hAnsi="Arial" w:cs="Arial"/>
          <w:b/>
          <w:bCs/>
          <w:sz w:val="22"/>
          <w:szCs w:val="22"/>
        </w:rPr>
        <w:t>nvestments in equipment</w:t>
      </w:r>
    </w:p>
    <w:p w14:paraId="13EC639C" w14:textId="77777777" w:rsidR="001C0F8D" w:rsidRPr="00365D87" w:rsidRDefault="00216EBB" w:rsidP="00713107">
      <w:pPr>
        <w:pStyle w:val="Listenabsatz"/>
        <w:widowControl w:val="0"/>
        <w:numPr>
          <w:ilvl w:val="0"/>
          <w:numId w:val="16"/>
        </w:numPr>
        <w:autoSpaceDE w:val="0"/>
        <w:autoSpaceDN w:val="0"/>
        <w:adjustRightInd w:val="0"/>
        <w:ind w:left="142" w:right="-29" w:firstLine="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Economy back on </w:t>
      </w:r>
      <w:r w:rsidR="006C3953">
        <w:rPr>
          <w:rFonts w:ascii="Arial" w:hAnsi="Arial" w:cs="Arial"/>
          <w:b/>
          <w:bCs/>
          <w:sz w:val="22"/>
          <w:szCs w:val="22"/>
        </w:rPr>
        <w:t>course</w:t>
      </w:r>
      <w:r>
        <w:rPr>
          <w:rFonts w:ascii="Arial" w:hAnsi="Arial" w:cs="Arial"/>
          <w:b/>
          <w:bCs/>
          <w:sz w:val="22"/>
          <w:szCs w:val="22"/>
        </w:rPr>
        <w:t xml:space="preserve"> for growth</w:t>
      </w:r>
      <w:r w:rsidR="006C395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despite uncertain</w:t>
      </w:r>
      <w:r w:rsidR="00365D87">
        <w:rPr>
          <w:rFonts w:ascii="Arial" w:hAnsi="Arial" w:cs="Arial"/>
          <w:b/>
          <w:bCs/>
          <w:sz w:val="22"/>
          <w:szCs w:val="22"/>
        </w:rPr>
        <w:t xml:space="preserve"> outlook</w:t>
      </w:r>
    </w:p>
    <w:p w14:paraId="6EB6059A" w14:textId="77777777" w:rsidR="001C0F8D" w:rsidRPr="00365D87" w:rsidRDefault="001C0F8D" w:rsidP="00713107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-170" w:firstLine="0"/>
        <w:contextualSpacing w:val="0"/>
        <w:rPr>
          <w:rFonts w:ascii="Arial" w:hAnsi="Arial" w:cs="Arial"/>
          <w:color w:val="444444"/>
          <w:spacing w:val="6"/>
          <w:sz w:val="22"/>
          <w:szCs w:val="22"/>
          <w:shd w:val="clear" w:color="auto" w:fill="FFFFFF"/>
        </w:rPr>
      </w:pPr>
      <w:r w:rsidRPr="00365D87">
        <w:rPr>
          <w:rFonts w:ascii="Arial" w:hAnsi="Arial" w:cs="Arial"/>
          <w:b/>
          <w:bCs/>
          <w:sz w:val="22"/>
          <w:szCs w:val="22"/>
        </w:rPr>
        <w:t xml:space="preserve">Leasing </w:t>
      </w:r>
      <w:r w:rsidR="00216EBB">
        <w:rPr>
          <w:rFonts w:ascii="Arial" w:hAnsi="Arial" w:cs="Arial"/>
          <w:b/>
          <w:bCs/>
          <w:sz w:val="22"/>
          <w:szCs w:val="22"/>
        </w:rPr>
        <w:t>has key role to play in</w:t>
      </w:r>
      <w:r w:rsidR="00365D87" w:rsidRPr="00365D87">
        <w:rPr>
          <w:rFonts w:ascii="Arial" w:hAnsi="Arial" w:cs="Arial"/>
          <w:b/>
          <w:bCs/>
          <w:sz w:val="22"/>
          <w:szCs w:val="22"/>
        </w:rPr>
        <w:t xml:space="preserve"> </w:t>
      </w:r>
      <w:r w:rsidR="00216EBB">
        <w:rPr>
          <w:rFonts w:ascii="Arial" w:hAnsi="Arial" w:cs="Arial"/>
          <w:b/>
          <w:bCs/>
          <w:sz w:val="22"/>
          <w:szCs w:val="22"/>
        </w:rPr>
        <w:t>transformation of the</w:t>
      </w:r>
      <w:r w:rsidR="00365D87">
        <w:rPr>
          <w:rFonts w:ascii="Arial" w:hAnsi="Arial" w:cs="Arial"/>
          <w:b/>
          <w:bCs/>
          <w:sz w:val="22"/>
          <w:szCs w:val="22"/>
        </w:rPr>
        <w:t xml:space="preserve"> economy</w:t>
      </w:r>
      <w:r w:rsidRPr="00365D8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01CC0C" w14:textId="77777777" w:rsidR="00FC3A94" w:rsidRPr="00727B83" w:rsidRDefault="000F2B99" w:rsidP="009345DD">
      <w:pPr>
        <w:widowControl w:val="0"/>
        <w:autoSpaceDE w:val="0"/>
        <w:autoSpaceDN w:val="0"/>
        <w:adjustRightInd w:val="0"/>
        <w:spacing w:before="120" w:after="120"/>
        <w:ind w:right="-170"/>
        <w:rPr>
          <w:rFonts w:ascii="Arial" w:hAnsi="Arial" w:cs="Arial"/>
          <w:b/>
          <w:sz w:val="22"/>
          <w:szCs w:val="22"/>
        </w:rPr>
      </w:pPr>
      <w:r w:rsidRPr="00D97B9A">
        <w:rPr>
          <w:rFonts w:ascii="Arial" w:hAnsi="Arial" w:cs="Arial"/>
          <w:b/>
          <w:bCs/>
          <w:sz w:val="22"/>
          <w:szCs w:val="22"/>
        </w:rPr>
        <w:t>Berlin</w:t>
      </w:r>
      <w:r w:rsidR="001F2B52" w:rsidRPr="00D97B9A">
        <w:rPr>
          <w:rFonts w:ascii="Arial" w:hAnsi="Arial" w:cs="Arial"/>
          <w:b/>
          <w:bCs/>
          <w:sz w:val="22"/>
          <w:szCs w:val="22"/>
        </w:rPr>
        <w:t xml:space="preserve">, </w:t>
      </w:r>
      <w:r w:rsidR="00E636DA" w:rsidRPr="00D97B9A">
        <w:rPr>
          <w:rFonts w:ascii="Arial" w:hAnsi="Arial" w:cs="Arial"/>
          <w:b/>
          <w:bCs/>
          <w:sz w:val="22"/>
          <w:szCs w:val="22"/>
        </w:rPr>
        <w:t>2</w:t>
      </w:r>
      <w:r w:rsidR="00365D87" w:rsidRPr="00D97B9A">
        <w:rPr>
          <w:rFonts w:ascii="Arial" w:hAnsi="Arial" w:cs="Arial"/>
          <w:b/>
          <w:bCs/>
          <w:sz w:val="22"/>
          <w:szCs w:val="22"/>
        </w:rPr>
        <w:t>nd</w:t>
      </w:r>
      <w:r w:rsidRPr="00D97B9A">
        <w:rPr>
          <w:rFonts w:ascii="Arial" w:hAnsi="Arial" w:cs="Arial"/>
          <w:b/>
          <w:bCs/>
          <w:sz w:val="22"/>
          <w:szCs w:val="22"/>
        </w:rPr>
        <w:t xml:space="preserve"> </w:t>
      </w:r>
      <w:r w:rsidR="00365D87" w:rsidRPr="00D97B9A">
        <w:rPr>
          <w:rFonts w:ascii="Arial" w:hAnsi="Arial" w:cs="Arial"/>
          <w:b/>
          <w:bCs/>
          <w:sz w:val="22"/>
          <w:szCs w:val="22"/>
        </w:rPr>
        <w:t>March</w:t>
      </w:r>
      <w:r w:rsidR="00E636DA" w:rsidRPr="00D97B9A">
        <w:rPr>
          <w:rFonts w:ascii="Arial" w:hAnsi="Arial" w:cs="Arial"/>
          <w:b/>
          <w:bCs/>
          <w:sz w:val="22"/>
          <w:szCs w:val="22"/>
        </w:rPr>
        <w:t xml:space="preserve"> 2022</w:t>
      </w:r>
      <w:r w:rsidR="001C0F8D" w:rsidRPr="00D97B9A">
        <w:rPr>
          <w:rFonts w:ascii="Arial" w:hAnsi="Arial" w:cs="Arial"/>
          <w:b/>
          <w:bCs/>
          <w:sz w:val="22"/>
          <w:szCs w:val="22"/>
        </w:rPr>
        <w:t xml:space="preserve"> </w:t>
      </w:r>
      <w:r w:rsidR="009345DD" w:rsidRPr="00D97B9A">
        <w:rPr>
          <w:rFonts w:ascii="Arial" w:hAnsi="Arial" w:cs="Arial"/>
          <w:b/>
          <w:bCs/>
          <w:sz w:val="22"/>
          <w:szCs w:val="22"/>
        </w:rPr>
        <w:t>–</w:t>
      </w:r>
      <w:r w:rsidR="001C0F8D" w:rsidRPr="00D97B9A">
        <w:rPr>
          <w:rFonts w:ascii="Arial" w:hAnsi="Arial" w:cs="Arial"/>
          <w:b/>
          <w:bCs/>
          <w:sz w:val="22"/>
          <w:szCs w:val="22"/>
        </w:rPr>
        <w:t xml:space="preserve"> </w:t>
      </w:r>
      <w:r w:rsidR="0032551F">
        <w:rPr>
          <w:rFonts w:ascii="Arial" w:hAnsi="Arial" w:cs="Arial"/>
          <w:b/>
          <w:bCs/>
          <w:sz w:val="22"/>
          <w:szCs w:val="22"/>
        </w:rPr>
        <w:t>Last year l</w:t>
      </w:r>
      <w:r w:rsidR="00D97B9A" w:rsidRPr="00D97B9A">
        <w:rPr>
          <w:rFonts w:ascii="Arial" w:hAnsi="Arial" w:cs="Arial"/>
          <w:b/>
          <w:bCs/>
          <w:sz w:val="22"/>
          <w:szCs w:val="22"/>
        </w:rPr>
        <w:t>easing companies in Germany financed investments in machinery, v</w:t>
      </w:r>
      <w:r w:rsidR="00D97B9A">
        <w:rPr>
          <w:rFonts w:ascii="Arial" w:hAnsi="Arial" w:cs="Arial"/>
          <w:b/>
          <w:bCs/>
          <w:sz w:val="22"/>
          <w:szCs w:val="22"/>
        </w:rPr>
        <w:t xml:space="preserve">ehicles, IT equipment, real estate and so-called other assets to the tune of 72 billion euro. </w:t>
      </w:r>
      <w:r w:rsidR="00D97B9A" w:rsidRPr="00A11847">
        <w:rPr>
          <w:rFonts w:ascii="Arial" w:hAnsi="Arial" w:cs="Arial"/>
          <w:b/>
          <w:bCs/>
          <w:sz w:val="22"/>
          <w:szCs w:val="22"/>
        </w:rPr>
        <w:t xml:space="preserve">This figure represents a </w:t>
      </w:r>
      <w:r w:rsidR="002E1A32">
        <w:rPr>
          <w:rFonts w:ascii="Arial" w:hAnsi="Arial" w:cs="Arial"/>
          <w:b/>
          <w:bCs/>
          <w:sz w:val="22"/>
          <w:szCs w:val="22"/>
        </w:rPr>
        <w:t xml:space="preserve">year-on-year </w:t>
      </w:r>
      <w:r w:rsidR="005F1515">
        <w:rPr>
          <w:rFonts w:ascii="Arial" w:hAnsi="Arial" w:cs="Arial"/>
          <w:b/>
          <w:bCs/>
          <w:sz w:val="22"/>
          <w:szCs w:val="22"/>
        </w:rPr>
        <w:t>growth rate of 3.4 percent</w:t>
      </w:r>
      <w:r w:rsidR="00D97B9A" w:rsidRPr="00A11847">
        <w:rPr>
          <w:rFonts w:ascii="Arial" w:hAnsi="Arial" w:cs="Arial"/>
          <w:b/>
          <w:bCs/>
          <w:sz w:val="22"/>
          <w:szCs w:val="22"/>
        </w:rPr>
        <w:t xml:space="preserve">. </w:t>
      </w:r>
      <w:r w:rsidR="00A11847">
        <w:rPr>
          <w:rFonts w:ascii="Arial" w:hAnsi="Arial" w:cs="Arial"/>
          <w:b/>
          <w:bCs/>
          <w:sz w:val="22"/>
          <w:szCs w:val="22"/>
        </w:rPr>
        <w:t>“</w:t>
      </w:r>
      <w:r w:rsidR="004960E7">
        <w:rPr>
          <w:rFonts w:ascii="Arial" w:hAnsi="Arial" w:cs="Arial"/>
          <w:b/>
          <w:bCs/>
          <w:sz w:val="22"/>
          <w:szCs w:val="22"/>
        </w:rPr>
        <w:t>After the initial shock of COVID-19 in 2020</w:t>
      </w:r>
      <w:r w:rsidR="00D21C9B" w:rsidRPr="00D21C9B">
        <w:rPr>
          <w:rFonts w:ascii="Arial" w:hAnsi="Arial" w:cs="Arial"/>
          <w:b/>
          <w:bCs/>
          <w:sz w:val="22"/>
          <w:szCs w:val="22"/>
        </w:rPr>
        <w:t>, the economy staged something of a recove</w:t>
      </w:r>
      <w:r w:rsidR="00D21C9B">
        <w:rPr>
          <w:rFonts w:ascii="Arial" w:hAnsi="Arial" w:cs="Arial"/>
          <w:b/>
          <w:bCs/>
          <w:sz w:val="22"/>
          <w:szCs w:val="22"/>
        </w:rPr>
        <w:t>ry in 2021,</w:t>
      </w:r>
      <w:r w:rsidR="00A11847">
        <w:rPr>
          <w:rFonts w:ascii="Arial" w:hAnsi="Arial" w:cs="Arial"/>
          <w:b/>
          <w:bCs/>
          <w:sz w:val="22"/>
          <w:szCs w:val="22"/>
        </w:rPr>
        <w:t>”</w:t>
      </w:r>
      <w:r w:rsidR="00D21C9B">
        <w:rPr>
          <w:rFonts w:ascii="Arial" w:hAnsi="Arial" w:cs="Arial"/>
          <w:b/>
          <w:bCs/>
          <w:sz w:val="22"/>
          <w:szCs w:val="22"/>
        </w:rPr>
        <w:t xml:space="preserve"> ex</w:t>
      </w:r>
      <w:r w:rsidR="002E1A32">
        <w:rPr>
          <w:rFonts w:ascii="Arial" w:hAnsi="Arial" w:cs="Arial"/>
          <w:b/>
          <w:bCs/>
          <w:sz w:val="22"/>
          <w:szCs w:val="22"/>
        </w:rPr>
        <w:t>plained</w:t>
      </w:r>
      <w:r w:rsidR="00D21C9B">
        <w:rPr>
          <w:rFonts w:ascii="Arial" w:hAnsi="Arial" w:cs="Arial"/>
          <w:b/>
          <w:bCs/>
          <w:sz w:val="22"/>
          <w:szCs w:val="22"/>
        </w:rPr>
        <w:t xml:space="preserve"> </w:t>
      </w:r>
      <w:r w:rsidR="00E77AD4">
        <w:rPr>
          <w:rFonts w:ascii="Arial" w:hAnsi="Arial" w:cs="Arial"/>
          <w:b/>
          <w:bCs/>
          <w:sz w:val="22"/>
          <w:szCs w:val="22"/>
        </w:rPr>
        <w:t xml:space="preserve">Kai Ostermann, President of the </w:t>
      </w:r>
      <w:r w:rsidR="00C66389" w:rsidRPr="00D21C9B">
        <w:rPr>
          <w:rFonts w:ascii="Arial" w:hAnsi="Arial" w:cs="Arial"/>
          <w:b/>
          <w:sz w:val="22"/>
          <w:szCs w:val="22"/>
        </w:rPr>
        <w:t>Bundesverban</w:t>
      </w:r>
      <w:r w:rsidR="00E77AD4">
        <w:rPr>
          <w:rFonts w:ascii="Arial" w:hAnsi="Arial" w:cs="Arial"/>
          <w:b/>
          <w:sz w:val="22"/>
          <w:szCs w:val="22"/>
        </w:rPr>
        <w:t>d</w:t>
      </w:r>
      <w:r w:rsidR="00C66389" w:rsidRPr="00D21C9B">
        <w:rPr>
          <w:rFonts w:ascii="Arial" w:hAnsi="Arial" w:cs="Arial"/>
          <w:b/>
          <w:sz w:val="22"/>
          <w:szCs w:val="22"/>
        </w:rPr>
        <w:t xml:space="preserve"> Deut</w:t>
      </w:r>
      <w:r w:rsidR="00E77AD4">
        <w:rPr>
          <w:rFonts w:ascii="Arial" w:hAnsi="Arial" w:cs="Arial"/>
          <w:b/>
          <w:sz w:val="22"/>
          <w:szCs w:val="22"/>
        </w:rPr>
        <w:t>scher Leasing-Unternehmen</w:t>
      </w:r>
      <w:r w:rsidR="002F2711">
        <w:rPr>
          <w:rFonts w:ascii="Arial" w:hAnsi="Arial" w:cs="Arial"/>
          <w:b/>
          <w:sz w:val="22"/>
          <w:szCs w:val="22"/>
        </w:rPr>
        <w:t xml:space="preserve"> (</w:t>
      </w:r>
      <w:r w:rsidR="00E77AD4">
        <w:rPr>
          <w:rFonts w:ascii="Arial" w:hAnsi="Arial" w:cs="Arial"/>
          <w:b/>
          <w:sz w:val="22"/>
          <w:szCs w:val="22"/>
        </w:rPr>
        <w:t>German Leasing Association</w:t>
      </w:r>
      <w:r w:rsidR="002F2711">
        <w:rPr>
          <w:rFonts w:ascii="Arial" w:hAnsi="Arial" w:cs="Arial"/>
          <w:b/>
          <w:sz w:val="22"/>
          <w:szCs w:val="22"/>
        </w:rPr>
        <w:t>, or BDL in short</w:t>
      </w:r>
      <w:r w:rsidR="00C66389" w:rsidRPr="00D21C9B">
        <w:rPr>
          <w:rFonts w:ascii="Arial" w:hAnsi="Arial" w:cs="Arial"/>
          <w:b/>
          <w:sz w:val="22"/>
          <w:szCs w:val="22"/>
        </w:rPr>
        <w:t>)</w:t>
      </w:r>
      <w:r w:rsidR="004525EB">
        <w:rPr>
          <w:rFonts w:ascii="Arial" w:hAnsi="Arial" w:cs="Arial"/>
          <w:b/>
          <w:sz w:val="22"/>
          <w:szCs w:val="22"/>
        </w:rPr>
        <w:t xml:space="preserve"> </w:t>
      </w:r>
      <w:r w:rsidR="005C1470">
        <w:rPr>
          <w:rFonts w:ascii="Arial" w:hAnsi="Arial" w:cs="Arial"/>
          <w:b/>
          <w:sz w:val="22"/>
          <w:szCs w:val="22"/>
        </w:rPr>
        <w:t>at the Association’s latest</w:t>
      </w:r>
      <w:r w:rsidR="0032551F">
        <w:rPr>
          <w:rFonts w:ascii="Arial" w:hAnsi="Arial" w:cs="Arial"/>
          <w:b/>
          <w:sz w:val="22"/>
          <w:szCs w:val="22"/>
        </w:rPr>
        <w:t xml:space="preserve"> press briefing</w:t>
      </w:r>
      <w:r w:rsidR="00E93742" w:rsidRPr="00D21C9B">
        <w:rPr>
          <w:rFonts w:ascii="Arial" w:hAnsi="Arial" w:cs="Arial"/>
          <w:b/>
          <w:sz w:val="22"/>
          <w:szCs w:val="22"/>
        </w:rPr>
        <w:t>.</w:t>
      </w:r>
      <w:r w:rsidR="00C66389" w:rsidRPr="00D21C9B">
        <w:rPr>
          <w:rFonts w:ascii="Arial" w:hAnsi="Arial" w:cs="Arial"/>
          <w:b/>
          <w:sz w:val="22"/>
          <w:szCs w:val="22"/>
        </w:rPr>
        <w:t xml:space="preserve"> </w:t>
      </w:r>
      <w:r w:rsidR="002F2711" w:rsidRPr="002F2711">
        <w:rPr>
          <w:rFonts w:ascii="Arial" w:hAnsi="Arial" w:cs="Arial"/>
          <w:b/>
          <w:sz w:val="22"/>
          <w:szCs w:val="22"/>
        </w:rPr>
        <w:t>In the first n</w:t>
      </w:r>
      <w:r w:rsidR="005C1470">
        <w:rPr>
          <w:rFonts w:ascii="Arial" w:hAnsi="Arial" w:cs="Arial"/>
          <w:b/>
          <w:sz w:val="22"/>
          <w:szCs w:val="22"/>
        </w:rPr>
        <w:t>ine months of 2021</w:t>
      </w:r>
      <w:r w:rsidR="004960E7">
        <w:rPr>
          <w:rFonts w:ascii="Arial" w:hAnsi="Arial" w:cs="Arial"/>
          <w:b/>
          <w:sz w:val="22"/>
          <w:szCs w:val="22"/>
        </w:rPr>
        <w:t xml:space="preserve">, </w:t>
      </w:r>
      <w:r w:rsidR="002F2711" w:rsidRPr="002F2711">
        <w:rPr>
          <w:rFonts w:ascii="Arial" w:hAnsi="Arial" w:cs="Arial"/>
          <w:b/>
          <w:sz w:val="22"/>
          <w:szCs w:val="22"/>
        </w:rPr>
        <w:t xml:space="preserve">the volume of new business acquired </w:t>
      </w:r>
      <w:r w:rsidR="004960E7">
        <w:rPr>
          <w:rFonts w:ascii="Arial" w:hAnsi="Arial" w:cs="Arial"/>
          <w:b/>
          <w:sz w:val="22"/>
          <w:szCs w:val="22"/>
        </w:rPr>
        <w:t>by leasing companies gre</w:t>
      </w:r>
      <w:r w:rsidR="002F2711">
        <w:rPr>
          <w:rFonts w:ascii="Arial" w:hAnsi="Arial" w:cs="Arial"/>
          <w:b/>
          <w:sz w:val="22"/>
          <w:szCs w:val="22"/>
        </w:rPr>
        <w:t>w by a good 7 per</w:t>
      </w:r>
      <w:r w:rsidR="004525EB">
        <w:rPr>
          <w:rFonts w:ascii="Arial" w:hAnsi="Arial" w:cs="Arial"/>
          <w:b/>
          <w:sz w:val="22"/>
          <w:szCs w:val="22"/>
        </w:rPr>
        <w:t>cent, though</w:t>
      </w:r>
      <w:r w:rsidR="004960E7">
        <w:rPr>
          <w:rFonts w:ascii="Arial" w:hAnsi="Arial" w:cs="Arial"/>
          <w:b/>
          <w:sz w:val="22"/>
          <w:szCs w:val="22"/>
        </w:rPr>
        <w:t xml:space="preserve"> </w:t>
      </w:r>
      <w:r w:rsidR="002F2711">
        <w:rPr>
          <w:rFonts w:ascii="Arial" w:hAnsi="Arial" w:cs="Arial"/>
          <w:b/>
          <w:sz w:val="22"/>
          <w:szCs w:val="22"/>
        </w:rPr>
        <w:t>in the fourth quarter, supply short</w:t>
      </w:r>
      <w:r w:rsidR="004960E7">
        <w:rPr>
          <w:rFonts w:ascii="Arial" w:hAnsi="Arial" w:cs="Arial"/>
          <w:b/>
          <w:sz w:val="22"/>
          <w:szCs w:val="22"/>
        </w:rPr>
        <w:t xml:space="preserve">ages and </w:t>
      </w:r>
      <w:r w:rsidR="004525EB">
        <w:rPr>
          <w:rFonts w:ascii="Arial" w:hAnsi="Arial" w:cs="Arial"/>
          <w:b/>
          <w:sz w:val="22"/>
          <w:szCs w:val="22"/>
        </w:rPr>
        <w:t xml:space="preserve">the </w:t>
      </w:r>
      <w:r w:rsidR="00D86EAE">
        <w:rPr>
          <w:rFonts w:ascii="Arial" w:hAnsi="Arial" w:cs="Arial"/>
          <w:b/>
          <w:sz w:val="22"/>
          <w:szCs w:val="22"/>
        </w:rPr>
        <w:t>lengthen</w:t>
      </w:r>
      <w:r w:rsidR="004960E7">
        <w:rPr>
          <w:rFonts w:ascii="Arial" w:hAnsi="Arial" w:cs="Arial"/>
          <w:b/>
          <w:sz w:val="22"/>
          <w:szCs w:val="22"/>
        </w:rPr>
        <w:t>ing</w:t>
      </w:r>
      <w:r w:rsidR="00D86EAE">
        <w:rPr>
          <w:rFonts w:ascii="Arial" w:hAnsi="Arial" w:cs="Arial"/>
          <w:b/>
          <w:sz w:val="22"/>
          <w:szCs w:val="22"/>
        </w:rPr>
        <w:t xml:space="preserve"> </w:t>
      </w:r>
      <w:r w:rsidR="004960E7">
        <w:rPr>
          <w:rFonts w:ascii="Arial" w:hAnsi="Arial" w:cs="Arial"/>
          <w:b/>
          <w:sz w:val="22"/>
          <w:szCs w:val="22"/>
        </w:rPr>
        <w:t xml:space="preserve">of producers’ </w:t>
      </w:r>
      <w:r w:rsidR="00D86EAE">
        <w:rPr>
          <w:rFonts w:ascii="Arial" w:hAnsi="Arial" w:cs="Arial"/>
          <w:b/>
          <w:sz w:val="22"/>
          <w:szCs w:val="22"/>
        </w:rPr>
        <w:t xml:space="preserve">delivery times </w:t>
      </w:r>
      <w:r w:rsidR="00727B83">
        <w:rPr>
          <w:rFonts w:ascii="Arial" w:hAnsi="Arial" w:cs="Arial"/>
          <w:b/>
          <w:sz w:val="22"/>
          <w:szCs w:val="22"/>
        </w:rPr>
        <w:t xml:space="preserve">somewhat </w:t>
      </w:r>
      <w:r w:rsidR="00D86EAE">
        <w:rPr>
          <w:rFonts w:ascii="Arial" w:hAnsi="Arial" w:cs="Arial"/>
          <w:b/>
          <w:sz w:val="22"/>
          <w:szCs w:val="22"/>
        </w:rPr>
        <w:t xml:space="preserve">dampened </w:t>
      </w:r>
      <w:r w:rsidR="00727B83">
        <w:rPr>
          <w:rFonts w:ascii="Arial" w:hAnsi="Arial" w:cs="Arial"/>
          <w:b/>
          <w:sz w:val="22"/>
          <w:szCs w:val="22"/>
        </w:rPr>
        <w:t>the continuing healthy demand for leas</w:t>
      </w:r>
      <w:r w:rsidR="005C1470">
        <w:rPr>
          <w:rFonts w:ascii="Arial" w:hAnsi="Arial" w:cs="Arial"/>
          <w:b/>
          <w:sz w:val="22"/>
          <w:szCs w:val="22"/>
        </w:rPr>
        <w:t>ing</w:t>
      </w:r>
      <w:r w:rsidR="00727B83">
        <w:rPr>
          <w:rFonts w:ascii="Arial" w:hAnsi="Arial" w:cs="Arial"/>
          <w:b/>
          <w:sz w:val="22"/>
          <w:szCs w:val="22"/>
        </w:rPr>
        <w:t xml:space="preserve"> services</w:t>
      </w:r>
      <w:r w:rsidR="00C66389" w:rsidRPr="002F2711">
        <w:rPr>
          <w:rFonts w:ascii="Arial" w:hAnsi="Arial" w:cs="Arial"/>
          <w:b/>
          <w:sz w:val="22"/>
          <w:szCs w:val="22"/>
        </w:rPr>
        <w:t xml:space="preserve">. </w:t>
      </w:r>
      <w:r w:rsidR="005C1470">
        <w:rPr>
          <w:rFonts w:ascii="Arial" w:hAnsi="Arial" w:cs="Arial"/>
          <w:b/>
          <w:sz w:val="22"/>
          <w:szCs w:val="22"/>
        </w:rPr>
        <w:t>“The</w:t>
      </w:r>
      <w:r w:rsidR="00F34538">
        <w:rPr>
          <w:rFonts w:ascii="Arial" w:hAnsi="Arial" w:cs="Arial"/>
          <w:b/>
          <w:sz w:val="22"/>
          <w:szCs w:val="22"/>
        </w:rPr>
        <w:t xml:space="preserve"> summer upswing</w:t>
      </w:r>
      <w:r w:rsidR="002E1A32">
        <w:rPr>
          <w:rFonts w:ascii="Arial" w:hAnsi="Arial" w:cs="Arial"/>
          <w:b/>
          <w:sz w:val="22"/>
          <w:szCs w:val="22"/>
        </w:rPr>
        <w:t xml:space="preserve"> lost some of its momentum,” said</w:t>
      </w:r>
      <w:r w:rsidR="00727B83" w:rsidRPr="00C43E38">
        <w:rPr>
          <w:rFonts w:ascii="Arial" w:hAnsi="Arial" w:cs="Arial"/>
          <w:b/>
          <w:sz w:val="22"/>
          <w:szCs w:val="22"/>
        </w:rPr>
        <w:t xml:space="preserve"> Ostermann. </w:t>
      </w:r>
      <w:r w:rsidR="00727B83" w:rsidRPr="00727B83">
        <w:rPr>
          <w:rFonts w:ascii="Arial" w:hAnsi="Arial" w:cs="Arial"/>
          <w:b/>
          <w:sz w:val="22"/>
          <w:szCs w:val="22"/>
        </w:rPr>
        <w:t>However, he added that the g</w:t>
      </w:r>
      <w:r w:rsidR="0032551F">
        <w:rPr>
          <w:rFonts w:ascii="Arial" w:hAnsi="Arial" w:cs="Arial"/>
          <w:b/>
          <w:sz w:val="22"/>
          <w:szCs w:val="22"/>
        </w:rPr>
        <w:t>rowth recorded</w:t>
      </w:r>
      <w:r w:rsidR="00727B83">
        <w:rPr>
          <w:rFonts w:ascii="Arial" w:hAnsi="Arial" w:cs="Arial"/>
          <w:b/>
          <w:sz w:val="22"/>
          <w:szCs w:val="22"/>
        </w:rPr>
        <w:t xml:space="preserve"> was a healthy sign of ongoing eco</w:t>
      </w:r>
      <w:r w:rsidR="00727B83" w:rsidRPr="00727B83">
        <w:rPr>
          <w:rFonts w:ascii="Arial" w:hAnsi="Arial" w:cs="Arial"/>
          <w:b/>
          <w:sz w:val="22"/>
          <w:szCs w:val="22"/>
        </w:rPr>
        <w:t>nom</w:t>
      </w:r>
      <w:r w:rsidR="00727B83">
        <w:rPr>
          <w:rFonts w:ascii="Arial" w:hAnsi="Arial" w:cs="Arial"/>
          <w:b/>
          <w:sz w:val="22"/>
          <w:szCs w:val="22"/>
        </w:rPr>
        <w:t>ic recover</w:t>
      </w:r>
      <w:r w:rsidR="00727B83" w:rsidRPr="00727B83">
        <w:rPr>
          <w:rFonts w:ascii="Arial" w:hAnsi="Arial" w:cs="Arial"/>
          <w:b/>
          <w:sz w:val="22"/>
          <w:szCs w:val="22"/>
        </w:rPr>
        <w:t>y</w:t>
      </w:r>
      <w:r w:rsidR="00727B83">
        <w:rPr>
          <w:rFonts w:ascii="Arial" w:hAnsi="Arial" w:cs="Arial"/>
          <w:b/>
          <w:sz w:val="22"/>
          <w:szCs w:val="22"/>
        </w:rPr>
        <w:t>.</w:t>
      </w:r>
    </w:p>
    <w:p w14:paraId="57FDBFCD" w14:textId="77777777" w:rsidR="0098292A" w:rsidRPr="002E1A32" w:rsidRDefault="00C010FF" w:rsidP="00475E91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2E1A32">
        <w:rPr>
          <w:rFonts w:ascii="Arial" w:hAnsi="Arial" w:cs="Arial"/>
          <w:b/>
          <w:sz w:val="22"/>
          <w:szCs w:val="22"/>
        </w:rPr>
        <w:t>Ambivalent outloo</w:t>
      </w:r>
      <w:r w:rsidR="0098292A" w:rsidRPr="002E1A32">
        <w:rPr>
          <w:rFonts w:ascii="Arial" w:hAnsi="Arial" w:cs="Arial"/>
          <w:b/>
          <w:sz w:val="22"/>
          <w:szCs w:val="22"/>
        </w:rPr>
        <w:t>k</w:t>
      </w:r>
    </w:p>
    <w:p w14:paraId="3CB3F457" w14:textId="77777777" w:rsidR="0098292A" w:rsidRPr="007D2B81" w:rsidRDefault="005F1515" w:rsidP="0098292A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Given recent developm</w:t>
      </w:r>
      <w:r w:rsidR="002E1A32">
        <w:rPr>
          <w:rFonts w:ascii="Arial" w:hAnsi="Arial" w:cs="Arial"/>
          <w:bCs/>
          <w:sz w:val="22"/>
          <w:szCs w:val="22"/>
        </w:rPr>
        <w:t xml:space="preserve">ents in </w:t>
      </w:r>
      <w:r w:rsidR="00A653DF" w:rsidRPr="00A653DF">
        <w:rPr>
          <w:rFonts w:ascii="Arial" w:hAnsi="Arial" w:cs="Arial"/>
          <w:bCs/>
          <w:sz w:val="22"/>
          <w:szCs w:val="22"/>
        </w:rPr>
        <w:t>Ukra</w:t>
      </w:r>
      <w:r>
        <w:rPr>
          <w:rFonts w:ascii="Arial" w:hAnsi="Arial" w:cs="Arial"/>
          <w:bCs/>
          <w:sz w:val="22"/>
          <w:szCs w:val="22"/>
        </w:rPr>
        <w:t>ine, the BDL President</w:t>
      </w:r>
      <w:r w:rsidR="00584D41">
        <w:rPr>
          <w:rFonts w:ascii="Arial" w:hAnsi="Arial" w:cs="Arial"/>
          <w:bCs/>
          <w:sz w:val="22"/>
          <w:szCs w:val="22"/>
        </w:rPr>
        <w:t xml:space="preserve"> is ambivalent about</w:t>
      </w:r>
      <w:r w:rsidR="00A653DF" w:rsidRPr="00A653DF">
        <w:rPr>
          <w:rFonts w:ascii="Arial" w:hAnsi="Arial" w:cs="Arial"/>
          <w:bCs/>
          <w:sz w:val="22"/>
          <w:szCs w:val="22"/>
        </w:rPr>
        <w:t xml:space="preserve"> the pros</w:t>
      </w:r>
      <w:r w:rsidR="00584D41">
        <w:rPr>
          <w:rFonts w:ascii="Arial" w:hAnsi="Arial" w:cs="Arial"/>
          <w:bCs/>
          <w:sz w:val="22"/>
          <w:szCs w:val="22"/>
        </w:rPr>
        <w:t>pects for the current year:</w:t>
      </w:r>
      <w:r w:rsidR="00A653DF" w:rsidRPr="00A653DF">
        <w:rPr>
          <w:rFonts w:ascii="Arial" w:hAnsi="Arial" w:cs="Arial"/>
          <w:bCs/>
          <w:sz w:val="22"/>
          <w:szCs w:val="22"/>
        </w:rPr>
        <w:t xml:space="preserve"> “Some sectors, such as the construction ind</w:t>
      </w:r>
      <w:r w:rsidR="002E1A32">
        <w:rPr>
          <w:rFonts w:ascii="Arial" w:hAnsi="Arial" w:cs="Arial"/>
          <w:bCs/>
          <w:sz w:val="22"/>
          <w:szCs w:val="22"/>
        </w:rPr>
        <w:t>ustry, are seeing steady growth.</w:t>
      </w:r>
      <w:r w:rsidR="00A653DF">
        <w:rPr>
          <w:rFonts w:ascii="Arial" w:hAnsi="Arial" w:cs="Arial"/>
          <w:bCs/>
          <w:sz w:val="22"/>
          <w:szCs w:val="22"/>
        </w:rPr>
        <w:t xml:space="preserve"> </w:t>
      </w:r>
      <w:r w:rsidR="002E1A32">
        <w:rPr>
          <w:rFonts w:ascii="Arial" w:hAnsi="Arial" w:cs="Arial"/>
          <w:bCs/>
          <w:sz w:val="22"/>
          <w:szCs w:val="22"/>
        </w:rPr>
        <w:t>C</w:t>
      </w:r>
      <w:r w:rsidR="00DC5FFE">
        <w:rPr>
          <w:rFonts w:ascii="Arial" w:hAnsi="Arial" w:cs="Arial"/>
          <w:bCs/>
          <w:sz w:val="22"/>
          <w:szCs w:val="22"/>
        </w:rPr>
        <w:t>orona restrictions are being lifted, and delivery</w:t>
      </w:r>
      <w:r w:rsidR="00584D41">
        <w:rPr>
          <w:rFonts w:ascii="Arial" w:hAnsi="Arial" w:cs="Arial"/>
          <w:bCs/>
          <w:sz w:val="22"/>
          <w:szCs w:val="22"/>
        </w:rPr>
        <w:t xml:space="preserve"> and supply problems may</w:t>
      </w:r>
      <w:r w:rsidR="00DC5FFE">
        <w:rPr>
          <w:rFonts w:ascii="Arial" w:hAnsi="Arial" w:cs="Arial"/>
          <w:bCs/>
          <w:sz w:val="22"/>
          <w:szCs w:val="22"/>
        </w:rPr>
        <w:t xml:space="preserve"> </w:t>
      </w:r>
      <w:r w:rsidR="00584D41">
        <w:rPr>
          <w:rFonts w:ascii="Arial" w:hAnsi="Arial" w:cs="Arial"/>
          <w:bCs/>
          <w:sz w:val="22"/>
          <w:szCs w:val="22"/>
        </w:rPr>
        <w:t>soon start</w:t>
      </w:r>
      <w:r w:rsidR="00DC5FFE">
        <w:rPr>
          <w:rFonts w:ascii="Arial" w:hAnsi="Arial" w:cs="Arial"/>
          <w:bCs/>
          <w:sz w:val="22"/>
          <w:szCs w:val="22"/>
        </w:rPr>
        <w:t xml:space="preserve"> to recede, which would enable compa</w:t>
      </w:r>
      <w:r>
        <w:rPr>
          <w:rFonts w:ascii="Arial" w:hAnsi="Arial" w:cs="Arial"/>
          <w:bCs/>
          <w:sz w:val="22"/>
          <w:szCs w:val="22"/>
        </w:rPr>
        <w:t xml:space="preserve">nies to work down </w:t>
      </w:r>
      <w:r w:rsidR="00DC5FFE">
        <w:rPr>
          <w:rFonts w:ascii="Arial" w:hAnsi="Arial" w:cs="Arial"/>
          <w:bCs/>
          <w:sz w:val="22"/>
          <w:szCs w:val="22"/>
        </w:rPr>
        <w:t xml:space="preserve">order backlogs. </w:t>
      </w:r>
      <w:r w:rsidR="004719D7">
        <w:rPr>
          <w:rFonts w:ascii="Arial" w:hAnsi="Arial" w:cs="Arial"/>
          <w:bCs/>
          <w:sz w:val="22"/>
          <w:szCs w:val="22"/>
        </w:rPr>
        <w:t>All of this should speed up the process of economic transformation.”</w:t>
      </w:r>
      <w:r w:rsidR="00DC5FFE" w:rsidRPr="00C43E38">
        <w:rPr>
          <w:rFonts w:ascii="Arial" w:hAnsi="Arial" w:cs="Arial"/>
          <w:bCs/>
          <w:sz w:val="22"/>
          <w:szCs w:val="22"/>
        </w:rPr>
        <w:t xml:space="preserve"> Demand for leasing services, noted Oster</w:t>
      </w:r>
      <w:r w:rsidR="004719D7">
        <w:rPr>
          <w:rFonts w:ascii="Arial" w:hAnsi="Arial" w:cs="Arial"/>
          <w:bCs/>
          <w:sz w:val="22"/>
          <w:szCs w:val="22"/>
        </w:rPr>
        <w:t>mann, i</w:t>
      </w:r>
      <w:r w:rsidR="007D2B81" w:rsidRPr="00C43E38">
        <w:rPr>
          <w:rFonts w:ascii="Arial" w:hAnsi="Arial" w:cs="Arial"/>
          <w:bCs/>
          <w:sz w:val="22"/>
          <w:szCs w:val="22"/>
        </w:rPr>
        <w:t>s also strong.</w:t>
      </w:r>
      <w:r w:rsidR="00DC5FFE" w:rsidRPr="00C43E38">
        <w:rPr>
          <w:rFonts w:ascii="Arial" w:hAnsi="Arial" w:cs="Arial"/>
          <w:bCs/>
          <w:sz w:val="22"/>
          <w:szCs w:val="22"/>
        </w:rPr>
        <w:t xml:space="preserve"> </w:t>
      </w:r>
      <w:r w:rsidR="007D2B81">
        <w:rPr>
          <w:rFonts w:ascii="Arial" w:hAnsi="Arial" w:cs="Arial"/>
          <w:bCs/>
          <w:sz w:val="22"/>
          <w:szCs w:val="22"/>
        </w:rPr>
        <w:t xml:space="preserve">However, </w:t>
      </w:r>
      <w:r w:rsidR="007D2B81" w:rsidRPr="007D2B81">
        <w:rPr>
          <w:rFonts w:ascii="Arial" w:hAnsi="Arial" w:cs="Arial"/>
          <w:bCs/>
          <w:sz w:val="22"/>
          <w:szCs w:val="22"/>
        </w:rPr>
        <w:t>rising in</w:t>
      </w:r>
      <w:r w:rsidR="007D2B81">
        <w:rPr>
          <w:rFonts w:ascii="Arial" w:hAnsi="Arial" w:cs="Arial"/>
          <w:bCs/>
          <w:sz w:val="22"/>
          <w:szCs w:val="22"/>
        </w:rPr>
        <w:t>flation and interest rates, and, above all,</w:t>
      </w:r>
      <w:r w:rsidR="007D2B81" w:rsidRPr="007D2B81">
        <w:rPr>
          <w:rFonts w:ascii="Arial" w:hAnsi="Arial" w:cs="Arial"/>
          <w:bCs/>
          <w:sz w:val="22"/>
          <w:szCs w:val="22"/>
        </w:rPr>
        <w:t xml:space="preserve"> </w:t>
      </w:r>
      <w:r w:rsidR="004719D7">
        <w:rPr>
          <w:rFonts w:ascii="Arial" w:hAnsi="Arial" w:cs="Arial"/>
          <w:bCs/>
          <w:sz w:val="22"/>
          <w:szCs w:val="22"/>
        </w:rPr>
        <w:t xml:space="preserve">a military escalation in </w:t>
      </w:r>
      <w:r w:rsidR="00584D41">
        <w:rPr>
          <w:rFonts w:ascii="Arial" w:hAnsi="Arial" w:cs="Arial"/>
          <w:bCs/>
          <w:sz w:val="22"/>
          <w:szCs w:val="22"/>
        </w:rPr>
        <w:t xml:space="preserve">Ukraine (plus all the </w:t>
      </w:r>
      <w:r w:rsidR="00131592">
        <w:rPr>
          <w:rFonts w:ascii="Arial" w:hAnsi="Arial" w:cs="Arial"/>
          <w:bCs/>
          <w:sz w:val="22"/>
          <w:szCs w:val="22"/>
        </w:rPr>
        <w:t xml:space="preserve">sanctions </w:t>
      </w:r>
      <w:r w:rsidR="007D2B81">
        <w:rPr>
          <w:rFonts w:ascii="Arial" w:hAnsi="Arial" w:cs="Arial"/>
          <w:bCs/>
          <w:sz w:val="22"/>
          <w:szCs w:val="22"/>
        </w:rPr>
        <w:t xml:space="preserve">this </w:t>
      </w:r>
      <w:r w:rsidR="006557E5">
        <w:rPr>
          <w:rFonts w:ascii="Arial" w:hAnsi="Arial" w:cs="Arial"/>
          <w:bCs/>
          <w:sz w:val="22"/>
          <w:szCs w:val="22"/>
        </w:rPr>
        <w:t>might</w:t>
      </w:r>
      <w:r w:rsidR="00FB0C8B">
        <w:rPr>
          <w:rFonts w:ascii="Arial" w:hAnsi="Arial" w:cs="Arial"/>
          <w:bCs/>
          <w:sz w:val="22"/>
          <w:szCs w:val="22"/>
        </w:rPr>
        <w:t xml:space="preserve"> trigger</w:t>
      </w:r>
      <w:r w:rsidR="00584D41">
        <w:rPr>
          <w:rFonts w:ascii="Arial" w:hAnsi="Arial" w:cs="Arial"/>
          <w:bCs/>
          <w:sz w:val="22"/>
          <w:szCs w:val="22"/>
        </w:rPr>
        <w:t>)</w:t>
      </w:r>
      <w:r w:rsidR="007D2B81">
        <w:rPr>
          <w:rFonts w:ascii="Arial" w:hAnsi="Arial" w:cs="Arial"/>
          <w:bCs/>
          <w:sz w:val="22"/>
          <w:szCs w:val="22"/>
        </w:rPr>
        <w:t xml:space="preserve"> </w:t>
      </w:r>
      <w:r w:rsidR="00584D41">
        <w:rPr>
          <w:rFonts w:ascii="Arial" w:hAnsi="Arial" w:cs="Arial"/>
          <w:bCs/>
          <w:sz w:val="22"/>
          <w:szCs w:val="22"/>
        </w:rPr>
        <w:t>c</w:t>
      </w:r>
      <w:r w:rsidR="00FB0C8B">
        <w:rPr>
          <w:rFonts w:ascii="Arial" w:hAnsi="Arial" w:cs="Arial"/>
          <w:bCs/>
          <w:sz w:val="22"/>
          <w:szCs w:val="22"/>
        </w:rPr>
        <w:t>ould impact</w:t>
      </w:r>
      <w:r w:rsidR="007D2B81">
        <w:rPr>
          <w:rFonts w:ascii="Arial" w:hAnsi="Arial" w:cs="Arial"/>
          <w:bCs/>
          <w:sz w:val="22"/>
          <w:szCs w:val="22"/>
        </w:rPr>
        <w:t xml:space="preserve"> economic activity</w:t>
      </w:r>
      <w:r w:rsidR="00FB0C8B">
        <w:rPr>
          <w:rFonts w:ascii="Arial" w:hAnsi="Arial" w:cs="Arial"/>
          <w:bCs/>
          <w:sz w:val="22"/>
          <w:szCs w:val="22"/>
        </w:rPr>
        <w:t xml:space="preserve"> in </w:t>
      </w:r>
      <w:r w:rsidR="006557E5">
        <w:rPr>
          <w:rFonts w:ascii="Arial" w:hAnsi="Arial" w:cs="Arial"/>
          <w:bCs/>
          <w:sz w:val="22"/>
          <w:szCs w:val="22"/>
        </w:rPr>
        <w:t xml:space="preserve">unpredictable </w:t>
      </w:r>
      <w:r w:rsidR="00FB0C8B">
        <w:rPr>
          <w:rFonts w:ascii="Arial" w:hAnsi="Arial" w:cs="Arial"/>
          <w:bCs/>
          <w:sz w:val="22"/>
          <w:szCs w:val="22"/>
        </w:rPr>
        <w:t>wa</w:t>
      </w:r>
      <w:r w:rsidR="006557E5">
        <w:rPr>
          <w:rFonts w:ascii="Arial" w:hAnsi="Arial" w:cs="Arial"/>
          <w:bCs/>
          <w:sz w:val="22"/>
          <w:szCs w:val="22"/>
        </w:rPr>
        <w:t>ys</w:t>
      </w:r>
      <w:r w:rsidR="007D2B81">
        <w:rPr>
          <w:rFonts w:ascii="Arial" w:hAnsi="Arial" w:cs="Arial"/>
          <w:bCs/>
          <w:sz w:val="22"/>
          <w:szCs w:val="22"/>
        </w:rPr>
        <w:t>.</w:t>
      </w:r>
    </w:p>
    <w:p w14:paraId="5EB1716A" w14:textId="77777777" w:rsidR="007D7A69" w:rsidRPr="00A11847" w:rsidRDefault="00FB0C8B" w:rsidP="00475E91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FB0C8B">
        <w:rPr>
          <w:rFonts w:ascii="Arial" w:hAnsi="Arial" w:cs="Arial"/>
          <w:bCs/>
          <w:sz w:val="22"/>
          <w:szCs w:val="22"/>
        </w:rPr>
        <w:t xml:space="preserve">Nevertheless, </w:t>
      </w:r>
      <w:r>
        <w:rPr>
          <w:rFonts w:ascii="Arial" w:hAnsi="Arial" w:cs="Arial"/>
          <w:bCs/>
          <w:sz w:val="22"/>
          <w:szCs w:val="22"/>
        </w:rPr>
        <w:t xml:space="preserve">from the point of view of the leasing industry, </w:t>
      </w:r>
      <w:r w:rsidRPr="00FB0C8B">
        <w:rPr>
          <w:rFonts w:ascii="Arial" w:hAnsi="Arial" w:cs="Arial"/>
          <w:bCs/>
          <w:sz w:val="22"/>
          <w:szCs w:val="22"/>
        </w:rPr>
        <w:t>the basic out</w:t>
      </w:r>
      <w:r w:rsidR="00584D41">
        <w:rPr>
          <w:rFonts w:ascii="Arial" w:hAnsi="Arial" w:cs="Arial"/>
          <w:bCs/>
          <w:sz w:val="22"/>
          <w:szCs w:val="22"/>
        </w:rPr>
        <w:t>look for future</w:t>
      </w:r>
      <w:r w:rsidRPr="00FB0C8B">
        <w:rPr>
          <w:rFonts w:ascii="Arial" w:hAnsi="Arial" w:cs="Arial"/>
          <w:bCs/>
          <w:sz w:val="22"/>
          <w:szCs w:val="22"/>
        </w:rPr>
        <w:t xml:space="preserve"> ye</w:t>
      </w:r>
      <w:r>
        <w:rPr>
          <w:rFonts w:ascii="Arial" w:hAnsi="Arial" w:cs="Arial"/>
          <w:bCs/>
          <w:sz w:val="22"/>
          <w:szCs w:val="22"/>
        </w:rPr>
        <w:t xml:space="preserve">ars </w:t>
      </w:r>
      <w:r w:rsidR="0035323A" w:rsidRPr="00FB0C8B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s encouraging. </w:t>
      </w:r>
      <w:r w:rsidR="0032551F">
        <w:rPr>
          <w:rFonts w:ascii="Arial" w:hAnsi="Arial" w:cs="Arial"/>
          <w:bCs/>
          <w:sz w:val="22"/>
          <w:szCs w:val="22"/>
        </w:rPr>
        <w:t xml:space="preserve">Germany, like </w:t>
      </w:r>
      <w:r w:rsidR="00091872" w:rsidRPr="00091872">
        <w:rPr>
          <w:rFonts w:ascii="Arial" w:hAnsi="Arial" w:cs="Arial"/>
          <w:bCs/>
          <w:sz w:val="22"/>
          <w:szCs w:val="22"/>
        </w:rPr>
        <w:t>other countries, is faced with major</w:t>
      </w:r>
      <w:r w:rsidR="00091872">
        <w:rPr>
          <w:rFonts w:ascii="Arial" w:hAnsi="Arial" w:cs="Arial"/>
          <w:bCs/>
          <w:sz w:val="22"/>
          <w:szCs w:val="22"/>
        </w:rPr>
        <w:t xml:space="preserve"> </w:t>
      </w:r>
      <w:r w:rsidR="0032551F">
        <w:rPr>
          <w:rFonts w:ascii="Arial" w:hAnsi="Arial" w:cs="Arial"/>
          <w:bCs/>
          <w:sz w:val="22"/>
          <w:szCs w:val="22"/>
        </w:rPr>
        <w:t xml:space="preserve">economic </w:t>
      </w:r>
      <w:r w:rsidR="00091872">
        <w:rPr>
          <w:rFonts w:ascii="Arial" w:hAnsi="Arial" w:cs="Arial"/>
          <w:bCs/>
          <w:sz w:val="22"/>
          <w:szCs w:val="22"/>
        </w:rPr>
        <w:t xml:space="preserve">challenges. </w:t>
      </w:r>
      <w:r w:rsidR="00091872" w:rsidRPr="006E1AB2">
        <w:rPr>
          <w:rFonts w:ascii="Arial" w:hAnsi="Arial" w:cs="Arial"/>
          <w:bCs/>
          <w:sz w:val="22"/>
          <w:szCs w:val="22"/>
        </w:rPr>
        <w:t xml:space="preserve">The 2020s will be a decade </w:t>
      </w:r>
      <w:r w:rsidR="00584D41">
        <w:rPr>
          <w:rFonts w:ascii="Arial" w:hAnsi="Arial" w:cs="Arial"/>
          <w:bCs/>
          <w:sz w:val="22"/>
          <w:szCs w:val="22"/>
        </w:rPr>
        <w:t xml:space="preserve">of </w:t>
      </w:r>
      <w:r w:rsidR="00091872" w:rsidRPr="006E1AB2">
        <w:rPr>
          <w:rFonts w:ascii="Arial" w:hAnsi="Arial" w:cs="Arial"/>
          <w:bCs/>
          <w:sz w:val="22"/>
          <w:szCs w:val="22"/>
        </w:rPr>
        <w:t xml:space="preserve">investment: </w:t>
      </w:r>
      <w:r w:rsidR="006E1AB2">
        <w:rPr>
          <w:rFonts w:ascii="Arial" w:hAnsi="Arial" w:cs="Arial"/>
          <w:bCs/>
          <w:sz w:val="22"/>
          <w:szCs w:val="22"/>
        </w:rPr>
        <w:t xml:space="preserve">not only </w:t>
      </w:r>
      <w:r w:rsidR="00D50AF0">
        <w:rPr>
          <w:rFonts w:ascii="Arial" w:hAnsi="Arial" w:cs="Arial"/>
          <w:bCs/>
          <w:sz w:val="22"/>
          <w:szCs w:val="22"/>
        </w:rPr>
        <w:t>in order to achieve</w:t>
      </w:r>
      <w:r w:rsidR="006E1AB2">
        <w:rPr>
          <w:rFonts w:ascii="Arial" w:hAnsi="Arial" w:cs="Arial"/>
          <w:bCs/>
          <w:sz w:val="22"/>
          <w:szCs w:val="22"/>
        </w:rPr>
        <w:t xml:space="preserve"> an energy turnaround and</w:t>
      </w:r>
      <w:r w:rsidR="006E1AB2" w:rsidRPr="006E1AB2">
        <w:rPr>
          <w:rFonts w:ascii="Arial" w:hAnsi="Arial" w:cs="Arial"/>
          <w:bCs/>
          <w:sz w:val="22"/>
          <w:szCs w:val="22"/>
        </w:rPr>
        <w:t xml:space="preserve"> digitaliza</w:t>
      </w:r>
      <w:r w:rsidR="006E1AB2">
        <w:rPr>
          <w:rFonts w:ascii="Arial" w:hAnsi="Arial" w:cs="Arial"/>
          <w:bCs/>
          <w:sz w:val="22"/>
          <w:szCs w:val="22"/>
        </w:rPr>
        <w:t>tion</w:t>
      </w:r>
      <w:r w:rsidR="006557E5">
        <w:rPr>
          <w:rFonts w:ascii="Arial" w:hAnsi="Arial" w:cs="Arial"/>
          <w:bCs/>
          <w:sz w:val="22"/>
          <w:szCs w:val="22"/>
        </w:rPr>
        <w:t xml:space="preserve"> goal</w:t>
      </w:r>
      <w:r w:rsidR="00D50AF0">
        <w:rPr>
          <w:rFonts w:ascii="Arial" w:hAnsi="Arial" w:cs="Arial"/>
          <w:bCs/>
          <w:sz w:val="22"/>
          <w:szCs w:val="22"/>
        </w:rPr>
        <w:t>s, but also to cope</w:t>
      </w:r>
      <w:r w:rsidR="006E1AB2">
        <w:rPr>
          <w:rFonts w:ascii="Arial" w:hAnsi="Arial" w:cs="Arial"/>
          <w:bCs/>
          <w:sz w:val="22"/>
          <w:szCs w:val="22"/>
        </w:rPr>
        <w:t xml:space="preserve"> with demographic change. </w:t>
      </w:r>
      <w:r w:rsidR="00D50AF0">
        <w:rPr>
          <w:rFonts w:ascii="Arial" w:hAnsi="Arial" w:cs="Arial"/>
          <w:bCs/>
          <w:sz w:val="22"/>
          <w:szCs w:val="22"/>
        </w:rPr>
        <w:t>“H</w:t>
      </w:r>
      <w:r w:rsidR="00D50AF0" w:rsidRPr="006E1AB2">
        <w:rPr>
          <w:rFonts w:ascii="Arial" w:hAnsi="Arial" w:cs="Arial"/>
          <w:bCs/>
          <w:sz w:val="22"/>
          <w:szCs w:val="22"/>
        </w:rPr>
        <w:t>ar</w:t>
      </w:r>
      <w:r w:rsidR="00D50AF0">
        <w:rPr>
          <w:rFonts w:ascii="Arial" w:hAnsi="Arial" w:cs="Arial"/>
          <w:bCs/>
          <w:sz w:val="22"/>
          <w:szCs w:val="22"/>
        </w:rPr>
        <w:t>ne</w:t>
      </w:r>
      <w:r w:rsidR="00D50AF0" w:rsidRPr="006E1AB2">
        <w:rPr>
          <w:rFonts w:ascii="Arial" w:hAnsi="Arial" w:cs="Arial"/>
          <w:bCs/>
          <w:sz w:val="22"/>
          <w:szCs w:val="22"/>
        </w:rPr>
        <w:t>ss</w:t>
      </w:r>
      <w:r w:rsidR="00D50AF0">
        <w:rPr>
          <w:rFonts w:ascii="Arial" w:hAnsi="Arial" w:cs="Arial"/>
          <w:bCs/>
          <w:sz w:val="22"/>
          <w:szCs w:val="22"/>
        </w:rPr>
        <w:t>ing</w:t>
      </w:r>
      <w:r w:rsidR="00D50AF0" w:rsidRPr="006E1AB2">
        <w:rPr>
          <w:rFonts w:ascii="Arial" w:hAnsi="Arial" w:cs="Arial"/>
          <w:bCs/>
          <w:sz w:val="22"/>
          <w:szCs w:val="22"/>
        </w:rPr>
        <w:t xml:space="preserve"> new technologies an</w:t>
      </w:r>
      <w:r w:rsidR="00D50AF0">
        <w:rPr>
          <w:rFonts w:ascii="Arial" w:hAnsi="Arial" w:cs="Arial"/>
          <w:bCs/>
          <w:sz w:val="22"/>
          <w:szCs w:val="22"/>
        </w:rPr>
        <w:t xml:space="preserve">d sustainable assets is </w:t>
      </w:r>
      <w:r w:rsidR="006557E5">
        <w:rPr>
          <w:rFonts w:ascii="Arial" w:hAnsi="Arial" w:cs="Arial"/>
          <w:bCs/>
          <w:sz w:val="22"/>
          <w:szCs w:val="22"/>
        </w:rPr>
        <w:t xml:space="preserve">the </w:t>
      </w:r>
      <w:r w:rsidR="006E1AB2" w:rsidRPr="006E1AB2">
        <w:rPr>
          <w:rFonts w:ascii="Arial" w:hAnsi="Arial" w:cs="Arial"/>
          <w:bCs/>
          <w:sz w:val="22"/>
          <w:szCs w:val="22"/>
        </w:rPr>
        <w:t>key to manag</w:t>
      </w:r>
      <w:r w:rsidR="00A11847">
        <w:rPr>
          <w:rFonts w:ascii="Arial" w:hAnsi="Arial" w:cs="Arial"/>
          <w:bCs/>
          <w:sz w:val="22"/>
          <w:szCs w:val="22"/>
        </w:rPr>
        <w:t xml:space="preserve">ing a </w:t>
      </w:r>
      <w:r w:rsidR="006E1AB2" w:rsidRPr="006E1AB2">
        <w:rPr>
          <w:rFonts w:ascii="Arial" w:hAnsi="Arial" w:cs="Arial"/>
          <w:bCs/>
          <w:sz w:val="22"/>
          <w:szCs w:val="22"/>
        </w:rPr>
        <w:t>process of transformation t</w:t>
      </w:r>
      <w:r w:rsidR="00D50AF0">
        <w:rPr>
          <w:rFonts w:ascii="Arial" w:hAnsi="Arial" w:cs="Arial"/>
          <w:bCs/>
          <w:sz w:val="22"/>
          <w:szCs w:val="22"/>
        </w:rPr>
        <w:t>hat is already under way</w:t>
      </w:r>
      <w:r w:rsidR="00A11847">
        <w:rPr>
          <w:rFonts w:ascii="Arial" w:hAnsi="Arial" w:cs="Arial"/>
          <w:bCs/>
          <w:sz w:val="22"/>
          <w:szCs w:val="22"/>
        </w:rPr>
        <w:t xml:space="preserve">,” remarked Ostermann. </w:t>
      </w:r>
      <w:r w:rsidR="00A11847" w:rsidRPr="00A11847">
        <w:rPr>
          <w:rFonts w:ascii="Arial" w:hAnsi="Arial" w:cs="Arial"/>
          <w:bCs/>
          <w:sz w:val="22"/>
          <w:szCs w:val="22"/>
        </w:rPr>
        <w:t>“With their expertise in investment objects and economic sectors, leasi</w:t>
      </w:r>
      <w:r w:rsidR="00A11847">
        <w:rPr>
          <w:rFonts w:ascii="Arial" w:hAnsi="Arial" w:cs="Arial"/>
          <w:bCs/>
          <w:sz w:val="22"/>
          <w:szCs w:val="22"/>
        </w:rPr>
        <w:t>ng companies are predestined to provide the lion’s share of the financing these investment projects will require.”</w:t>
      </w:r>
    </w:p>
    <w:p w14:paraId="5858D81B" w14:textId="2BFD44FD" w:rsidR="00B67B99" w:rsidRPr="00B661A3" w:rsidRDefault="00B67B99" w:rsidP="00475E91">
      <w:pPr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B661A3">
        <w:rPr>
          <w:rFonts w:ascii="Arial" w:hAnsi="Arial" w:cs="Arial"/>
          <w:b/>
          <w:bCs/>
          <w:color w:val="000000"/>
          <w:sz w:val="22"/>
          <w:szCs w:val="22"/>
        </w:rPr>
        <w:t>Leasing</w:t>
      </w:r>
      <w:r w:rsidR="00B661A3">
        <w:rPr>
          <w:rFonts w:ascii="Arial" w:hAnsi="Arial" w:cs="Arial"/>
          <w:b/>
          <w:bCs/>
          <w:color w:val="000000"/>
          <w:sz w:val="22"/>
          <w:szCs w:val="22"/>
        </w:rPr>
        <w:t xml:space="preserve"> sector is enabling the </w:t>
      </w:r>
      <w:r w:rsidR="004C66D3" w:rsidRPr="004C66D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German</w:t>
      </w:r>
      <w:r w:rsidR="004C66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661A3" w:rsidRPr="00B661A3">
        <w:rPr>
          <w:rFonts w:ascii="Arial" w:hAnsi="Arial" w:cs="Arial"/>
          <w:b/>
          <w:bCs/>
          <w:i/>
          <w:color w:val="000000"/>
          <w:sz w:val="22"/>
          <w:szCs w:val="22"/>
        </w:rPr>
        <w:t>Mittelstand</w:t>
      </w:r>
      <w:proofErr w:type="spellEnd"/>
      <w:r w:rsidR="00B661A3">
        <w:rPr>
          <w:rFonts w:ascii="Arial" w:hAnsi="Arial" w:cs="Arial"/>
          <w:b/>
          <w:bCs/>
          <w:color w:val="000000"/>
          <w:sz w:val="22"/>
          <w:szCs w:val="22"/>
        </w:rPr>
        <w:t xml:space="preserve"> to transform itself</w:t>
      </w:r>
    </w:p>
    <w:p w14:paraId="63677386" w14:textId="77777777" w:rsidR="00960624" w:rsidRPr="00D22307" w:rsidRDefault="00B661A3" w:rsidP="00475E91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B661A3">
        <w:rPr>
          <w:rFonts w:ascii="Arial" w:hAnsi="Arial" w:cs="Arial"/>
          <w:color w:val="000000"/>
          <w:sz w:val="22"/>
          <w:szCs w:val="22"/>
        </w:rPr>
        <w:t xml:space="preserve">The leasing sector, which </w:t>
      </w:r>
      <w:r w:rsidR="00BD2CAF">
        <w:rPr>
          <w:rFonts w:ascii="Arial" w:hAnsi="Arial" w:cs="Arial"/>
          <w:color w:val="000000"/>
          <w:sz w:val="22"/>
          <w:szCs w:val="22"/>
        </w:rPr>
        <w:t>in 2022 celebrat</w:t>
      </w:r>
      <w:r w:rsidR="004B5D17">
        <w:rPr>
          <w:rFonts w:ascii="Arial" w:hAnsi="Arial" w:cs="Arial"/>
          <w:color w:val="000000"/>
          <w:sz w:val="22"/>
          <w:szCs w:val="22"/>
        </w:rPr>
        <w:t xml:space="preserve">es </w:t>
      </w:r>
      <w:r w:rsidR="00D50AF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4B5D17">
        <w:rPr>
          <w:rFonts w:ascii="Arial" w:hAnsi="Arial" w:cs="Arial"/>
          <w:color w:val="000000"/>
          <w:sz w:val="22"/>
          <w:szCs w:val="22"/>
        </w:rPr>
        <w:t>60</w:t>
      </w:r>
      <w:r w:rsidR="00D50AF0">
        <w:rPr>
          <w:rFonts w:ascii="Arial" w:hAnsi="Arial" w:cs="Arial"/>
          <w:color w:val="000000"/>
          <w:sz w:val="22"/>
          <w:szCs w:val="22"/>
        </w:rPr>
        <w:t>th anniversary of its debut</w:t>
      </w:r>
      <w:r w:rsidR="00E5780E">
        <w:rPr>
          <w:rFonts w:ascii="Arial" w:hAnsi="Arial" w:cs="Arial"/>
          <w:color w:val="000000"/>
          <w:sz w:val="22"/>
          <w:szCs w:val="22"/>
        </w:rPr>
        <w:t xml:space="preserve"> in </w:t>
      </w:r>
      <w:r w:rsidR="006557E5">
        <w:rPr>
          <w:rFonts w:ascii="Arial" w:hAnsi="Arial" w:cs="Arial"/>
          <w:color w:val="000000"/>
          <w:sz w:val="22"/>
          <w:szCs w:val="22"/>
        </w:rPr>
        <w:t>the German marketplace</w:t>
      </w:r>
      <w:r w:rsidR="00E5780E">
        <w:rPr>
          <w:rFonts w:ascii="Arial" w:hAnsi="Arial" w:cs="Arial"/>
          <w:color w:val="000000"/>
          <w:sz w:val="22"/>
          <w:szCs w:val="22"/>
        </w:rPr>
        <w:t>, has for a long time been a provider of</w:t>
      </w:r>
      <w:r w:rsidRPr="00B661A3">
        <w:rPr>
          <w:rFonts w:ascii="Arial" w:hAnsi="Arial" w:cs="Arial"/>
          <w:color w:val="000000"/>
          <w:sz w:val="22"/>
          <w:szCs w:val="22"/>
        </w:rPr>
        <w:t xml:space="preserve"> financing for </w:t>
      </w:r>
      <w:r w:rsidR="00E5780E">
        <w:rPr>
          <w:rFonts w:ascii="Arial" w:hAnsi="Arial" w:cs="Arial"/>
          <w:color w:val="000000"/>
          <w:sz w:val="22"/>
          <w:szCs w:val="22"/>
        </w:rPr>
        <w:t xml:space="preserve">renewable energy plants such as </w:t>
      </w:r>
      <w:r w:rsidRPr="00B661A3">
        <w:rPr>
          <w:rFonts w:ascii="Arial" w:hAnsi="Arial" w:cs="Arial"/>
          <w:color w:val="000000"/>
          <w:sz w:val="22"/>
          <w:szCs w:val="22"/>
        </w:rPr>
        <w:t>so</w:t>
      </w:r>
      <w:r w:rsidR="00E5780E">
        <w:rPr>
          <w:rFonts w:ascii="Arial" w:hAnsi="Arial" w:cs="Arial"/>
          <w:color w:val="000000"/>
          <w:sz w:val="22"/>
          <w:szCs w:val="22"/>
        </w:rPr>
        <w:t>lar PV farms</w:t>
      </w:r>
      <w:r w:rsidRPr="00B661A3">
        <w:rPr>
          <w:rFonts w:ascii="Arial" w:hAnsi="Arial" w:cs="Arial"/>
          <w:color w:val="000000"/>
          <w:sz w:val="22"/>
          <w:szCs w:val="22"/>
        </w:rPr>
        <w:t xml:space="preserve"> and wind parks. </w:t>
      </w:r>
      <w:r w:rsidRPr="00C43E38">
        <w:rPr>
          <w:rFonts w:ascii="Arial" w:hAnsi="Arial" w:cs="Arial"/>
          <w:color w:val="000000"/>
          <w:sz w:val="22"/>
          <w:szCs w:val="22"/>
        </w:rPr>
        <w:t xml:space="preserve">Leasing companies are </w:t>
      </w:r>
      <w:r w:rsidR="008B6F7C" w:rsidRPr="00C43E38">
        <w:rPr>
          <w:rFonts w:ascii="Arial" w:hAnsi="Arial" w:cs="Arial"/>
          <w:color w:val="000000"/>
          <w:sz w:val="22"/>
          <w:szCs w:val="22"/>
        </w:rPr>
        <w:t>also h</w:t>
      </w:r>
      <w:r w:rsidRPr="00C43E38">
        <w:rPr>
          <w:rFonts w:ascii="Arial" w:hAnsi="Arial" w:cs="Arial"/>
          <w:color w:val="000000"/>
          <w:sz w:val="22"/>
          <w:szCs w:val="22"/>
        </w:rPr>
        <w:t xml:space="preserve">elping </w:t>
      </w:r>
      <w:r w:rsidR="00D50AF0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C43E38">
        <w:rPr>
          <w:rFonts w:ascii="Arial" w:hAnsi="Arial" w:cs="Arial"/>
          <w:color w:val="000000"/>
          <w:sz w:val="22"/>
          <w:szCs w:val="22"/>
        </w:rPr>
        <w:t>bring electric mobility and bicycle power to German streets</w:t>
      </w:r>
      <w:r w:rsidR="008B6F7C" w:rsidRPr="00C43E38">
        <w:rPr>
          <w:rFonts w:ascii="Arial" w:hAnsi="Arial" w:cs="Arial"/>
          <w:color w:val="000000"/>
          <w:sz w:val="22"/>
          <w:szCs w:val="22"/>
        </w:rPr>
        <w:t xml:space="preserve">. </w:t>
      </w:r>
      <w:r w:rsidR="008B6F7C" w:rsidRPr="00D22307">
        <w:rPr>
          <w:rFonts w:ascii="Arial" w:hAnsi="Arial" w:cs="Arial"/>
          <w:color w:val="000000"/>
          <w:sz w:val="22"/>
          <w:szCs w:val="22"/>
        </w:rPr>
        <w:t>And they are financ</w:t>
      </w:r>
      <w:r w:rsidR="00E5780E">
        <w:rPr>
          <w:rFonts w:ascii="Arial" w:hAnsi="Arial" w:cs="Arial"/>
          <w:color w:val="000000"/>
          <w:sz w:val="22"/>
          <w:szCs w:val="22"/>
        </w:rPr>
        <w:t>ing the introduction</w:t>
      </w:r>
      <w:r w:rsidR="008B6F7C" w:rsidRPr="00D22307">
        <w:rPr>
          <w:rFonts w:ascii="Arial" w:hAnsi="Arial" w:cs="Arial"/>
          <w:color w:val="000000"/>
          <w:sz w:val="22"/>
          <w:szCs w:val="22"/>
        </w:rPr>
        <w:t xml:space="preserve"> </w:t>
      </w:r>
      <w:r w:rsidR="00B17BBD">
        <w:rPr>
          <w:rFonts w:ascii="Arial" w:hAnsi="Arial" w:cs="Arial"/>
          <w:color w:val="000000"/>
          <w:sz w:val="22"/>
          <w:szCs w:val="22"/>
        </w:rPr>
        <w:t>– and</w:t>
      </w:r>
      <w:r w:rsidR="008B6F7C" w:rsidRPr="00D22307">
        <w:rPr>
          <w:rFonts w:ascii="Arial" w:hAnsi="Arial" w:cs="Arial"/>
          <w:color w:val="000000"/>
          <w:sz w:val="22"/>
          <w:szCs w:val="22"/>
        </w:rPr>
        <w:t xml:space="preserve"> popularizing</w:t>
      </w:r>
      <w:r w:rsidR="00B17BBD">
        <w:rPr>
          <w:rFonts w:ascii="Arial" w:hAnsi="Arial" w:cs="Arial"/>
          <w:color w:val="000000"/>
          <w:sz w:val="22"/>
          <w:szCs w:val="22"/>
        </w:rPr>
        <w:t xml:space="preserve"> – of</w:t>
      </w:r>
      <w:r w:rsidR="008B6F7C" w:rsidRPr="00D22307">
        <w:rPr>
          <w:rFonts w:ascii="Arial" w:hAnsi="Arial" w:cs="Arial"/>
          <w:color w:val="000000"/>
          <w:sz w:val="22"/>
          <w:szCs w:val="22"/>
        </w:rPr>
        <w:t xml:space="preserve"> energy-efficient production machin</w:t>
      </w:r>
      <w:r w:rsidR="00E5780E">
        <w:rPr>
          <w:rFonts w:ascii="Arial" w:hAnsi="Arial" w:cs="Arial"/>
          <w:color w:val="000000"/>
          <w:sz w:val="22"/>
          <w:szCs w:val="22"/>
        </w:rPr>
        <w:t>ery and</w:t>
      </w:r>
      <w:r w:rsidR="00D22307" w:rsidRPr="00D22307">
        <w:rPr>
          <w:rFonts w:ascii="Arial" w:hAnsi="Arial" w:cs="Arial"/>
          <w:color w:val="000000"/>
          <w:sz w:val="22"/>
          <w:szCs w:val="22"/>
        </w:rPr>
        <w:t xml:space="preserve"> modern, safe, innovative technologies in all kinds</w:t>
      </w:r>
      <w:r w:rsidR="00D22307">
        <w:rPr>
          <w:rFonts w:ascii="Arial" w:hAnsi="Arial" w:cs="Arial"/>
          <w:color w:val="000000"/>
          <w:sz w:val="22"/>
          <w:szCs w:val="22"/>
        </w:rPr>
        <w:t xml:space="preserve"> of </w:t>
      </w:r>
      <w:r w:rsidR="003D11C0">
        <w:rPr>
          <w:rFonts w:ascii="Arial" w:hAnsi="Arial" w:cs="Arial"/>
          <w:color w:val="000000"/>
          <w:sz w:val="22"/>
          <w:szCs w:val="22"/>
        </w:rPr>
        <w:t xml:space="preserve">economic </w:t>
      </w:r>
      <w:r w:rsidR="00D22307">
        <w:rPr>
          <w:rFonts w:ascii="Arial" w:hAnsi="Arial" w:cs="Arial"/>
          <w:color w:val="000000"/>
          <w:sz w:val="22"/>
          <w:szCs w:val="22"/>
        </w:rPr>
        <w:t xml:space="preserve">sectors – e.g. in </w:t>
      </w:r>
      <w:r w:rsidR="00D22307">
        <w:rPr>
          <w:rFonts w:ascii="Arial" w:hAnsi="Arial" w:cs="Arial"/>
          <w:color w:val="000000"/>
          <w:sz w:val="22"/>
          <w:szCs w:val="22"/>
        </w:rPr>
        <w:lastRenderedPageBreak/>
        <w:t xml:space="preserve">service companies, </w:t>
      </w:r>
      <w:r w:rsidR="00BD2CAF">
        <w:rPr>
          <w:rFonts w:ascii="Arial" w:hAnsi="Arial" w:cs="Arial"/>
          <w:color w:val="000000"/>
          <w:sz w:val="22"/>
          <w:szCs w:val="22"/>
        </w:rPr>
        <w:t>skilled trades businesses, construction and industrial companies, hospitals, medical prac</w:t>
      </w:r>
      <w:r w:rsidR="00B17BBD">
        <w:rPr>
          <w:rFonts w:ascii="Arial" w:hAnsi="Arial" w:cs="Arial"/>
          <w:color w:val="000000"/>
          <w:sz w:val="22"/>
          <w:szCs w:val="22"/>
        </w:rPr>
        <w:t>tices and the care-</w:t>
      </w:r>
      <w:r w:rsidR="003D11C0">
        <w:rPr>
          <w:rFonts w:ascii="Arial" w:hAnsi="Arial" w:cs="Arial"/>
          <w:color w:val="000000"/>
          <w:sz w:val="22"/>
          <w:szCs w:val="22"/>
        </w:rPr>
        <w:t>provision</w:t>
      </w:r>
      <w:r w:rsidR="00B17BBD">
        <w:rPr>
          <w:rFonts w:ascii="Arial" w:hAnsi="Arial" w:cs="Arial"/>
          <w:color w:val="000000"/>
          <w:sz w:val="22"/>
          <w:szCs w:val="22"/>
        </w:rPr>
        <w:t xml:space="preserve"> sector</w:t>
      </w:r>
      <w:r w:rsidR="00BD2CAF">
        <w:rPr>
          <w:rFonts w:ascii="Arial" w:hAnsi="Arial" w:cs="Arial"/>
          <w:color w:val="000000"/>
          <w:sz w:val="22"/>
          <w:szCs w:val="22"/>
        </w:rPr>
        <w:t>.</w:t>
      </w:r>
    </w:p>
    <w:p w14:paraId="12C7D537" w14:textId="77777777" w:rsidR="00071A47" w:rsidRPr="009655C7" w:rsidRDefault="00C43E38" w:rsidP="00475E91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C43E38">
        <w:rPr>
          <w:rFonts w:ascii="Arial" w:hAnsi="Arial" w:cs="Arial"/>
          <w:color w:val="000000"/>
          <w:sz w:val="22"/>
          <w:szCs w:val="22"/>
        </w:rPr>
        <w:t>More than a quarter of all German investment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38">
        <w:rPr>
          <w:rFonts w:ascii="Arial" w:hAnsi="Arial" w:cs="Arial"/>
          <w:color w:val="000000"/>
          <w:sz w:val="22"/>
          <w:szCs w:val="22"/>
        </w:rPr>
        <w:t xml:space="preserve">in equipment </w:t>
      </w:r>
      <w:r w:rsidR="009D2766" w:rsidRPr="00C43E38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26.</w:t>
      </w:r>
      <w:r w:rsidR="009D2766" w:rsidRPr="00C43E38">
        <w:rPr>
          <w:rFonts w:ascii="Arial" w:hAnsi="Arial" w:cs="Arial"/>
          <w:color w:val="000000"/>
          <w:sz w:val="22"/>
          <w:szCs w:val="22"/>
        </w:rPr>
        <w:t xml:space="preserve">7 </w:t>
      </w:r>
      <w:r>
        <w:rPr>
          <w:rFonts w:ascii="Arial" w:hAnsi="Arial" w:cs="Arial"/>
          <w:color w:val="000000"/>
          <w:sz w:val="22"/>
          <w:szCs w:val="22"/>
        </w:rPr>
        <w:t>percent</w:t>
      </w:r>
      <w:r w:rsidR="00B17BBD">
        <w:rPr>
          <w:rFonts w:ascii="Arial" w:hAnsi="Arial" w:cs="Arial"/>
          <w:color w:val="000000"/>
          <w:sz w:val="22"/>
          <w:szCs w:val="22"/>
        </w:rPr>
        <w:t xml:space="preserve"> in 2021</w:t>
      </w:r>
      <w:r w:rsidR="009D2766" w:rsidRPr="00C43E38">
        <w:rPr>
          <w:rFonts w:ascii="Arial" w:hAnsi="Arial" w:cs="Arial"/>
          <w:color w:val="000000"/>
          <w:sz w:val="22"/>
          <w:szCs w:val="22"/>
        </w:rPr>
        <w:t xml:space="preserve">) </w:t>
      </w:r>
      <w:r w:rsidR="00B17BBD">
        <w:rPr>
          <w:rFonts w:ascii="Arial" w:hAnsi="Arial" w:cs="Arial"/>
          <w:color w:val="000000"/>
          <w:sz w:val="22"/>
          <w:szCs w:val="22"/>
        </w:rPr>
        <w:t>is</w:t>
      </w:r>
      <w:r>
        <w:rPr>
          <w:rFonts w:ascii="Arial" w:hAnsi="Arial" w:cs="Arial"/>
          <w:color w:val="000000"/>
          <w:sz w:val="22"/>
          <w:szCs w:val="22"/>
        </w:rPr>
        <w:t xml:space="preserve"> financed by leasing companies. </w:t>
      </w:r>
      <w:r w:rsidRPr="00C43E38">
        <w:rPr>
          <w:rFonts w:ascii="Arial" w:hAnsi="Arial" w:cs="Arial"/>
          <w:color w:val="000000"/>
          <w:sz w:val="22"/>
          <w:szCs w:val="22"/>
        </w:rPr>
        <w:t xml:space="preserve">And besides </w:t>
      </w:r>
      <w:r w:rsidR="006557E5">
        <w:rPr>
          <w:rFonts w:ascii="Arial" w:hAnsi="Arial" w:cs="Arial"/>
          <w:color w:val="000000"/>
          <w:sz w:val="22"/>
          <w:szCs w:val="22"/>
        </w:rPr>
        <w:t xml:space="preserve">providing </w:t>
      </w:r>
      <w:r w:rsidRPr="00C43E38">
        <w:rPr>
          <w:rFonts w:ascii="Arial" w:hAnsi="Arial" w:cs="Arial"/>
          <w:color w:val="000000"/>
          <w:sz w:val="22"/>
          <w:szCs w:val="22"/>
        </w:rPr>
        <w:t xml:space="preserve">straightforward investment financing, these companies offer a wide range of service products, </w:t>
      </w:r>
      <w:r w:rsidR="00B17BBD">
        <w:rPr>
          <w:rFonts w:ascii="Arial" w:hAnsi="Arial" w:cs="Arial"/>
          <w:color w:val="000000"/>
          <w:sz w:val="22"/>
          <w:szCs w:val="22"/>
        </w:rPr>
        <w:t>as well as</w:t>
      </w:r>
      <w:r w:rsidRPr="00C43E38">
        <w:rPr>
          <w:rFonts w:ascii="Arial" w:hAnsi="Arial" w:cs="Arial"/>
          <w:color w:val="000000"/>
          <w:sz w:val="22"/>
          <w:szCs w:val="22"/>
        </w:rPr>
        <w:t xml:space="preserve"> c</w:t>
      </w:r>
      <w:r>
        <w:rPr>
          <w:rFonts w:ascii="Arial" w:hAnsi="Arial" w:cs="Arial"/>
          <w:color w:val="000000"/>
          <w:sz w:val="22"/>
          <w:szCs w:val="22"/>
        </w:rPr>
        <w:t xml:space="preserve">onsultative support in connection with the drawing up of individualized sustainability reports </w:t>
      </w:r>
      <w:r w:rsidR="00E41E29">
        <w:rPr>
          <w:rFonts w:ascii="Arial" w:hAnsi="Arial" w:cs="Arial"/>
          <w:color w:val="000000"/>
          <w:sz w:val="22"/>
          <w:szCs w:val="22"/>
        </w:rPr>
        <w:t>and</w:t>
      </w:r>
      <w:r w:rsidR="009655C7">
        <w:rPr>
          <w:rFonts w:ascii="Arial" w:hAnsi="Arial" w:cs="Arial"/>
          <w:color w:val="000000"/>
          <w:sz w:val="22"/>
          <w:szCs w:val="22"/>
        </w:rPr>
        <w:t xml:space="preserve"> the accessing of </w:t>
      </w:r>
      <w:r w:rsidR="00B17BBD">
        <w:rPr>
          <w:rFonts w:ascii="Arial" w:hAnsi="Arial" w:cs="Arial"/>
          <w:color w:val="000000"/>
          <w:sz w:val="22"/>
          <w:szCs w:val="22"/>
        </w:rPr>
        <w:t xml:space="preserve">economic </w:t>
      </w:r>
      <w:r w:rsidR="009655C7">
        <w:rPr>
          <w:rFonts w:ascii="Arial" w:hAnsi="Arial" w:cs="Arial"/>
          <w:color w:val="000000"/>
          <w:sz w:val="22"/>
          <w:szCs w:val="22"/>
        </w:rPr>
        <w:t>transforma</w:t>
      </w:r>
      <w:r w:rsidR="00B17BBD">
        <w:rPr>
          <w:rFonts w:ascii="Arial" w:hAnsi="Arial" w:cs="Arial"/>
          <w:color w:val="000000"/>
          <w:sz w:val="22"/>
          <w:szCs w:val="22"/>
        </w:rPr>
        <w:t>tion funding</w:t>
      </w:r>
      <w:r w:rsidR="009655C7">
        <w:rPr>
          <w:rFonts w:ascii="Arial" w:hAnsi="Arial" w:cs="Arial"/>
          <w:color w:val="000000"/>
          <w:sz w:val="22"/>
          <w:szCs w:val="22"/>
        </w:rPr>
        <w:t xml:space="preserve">. </w:t>
      </w:r>
      <w:r w:rsidR="00B17BBD">
        <w:rPr>
          <w:rFonts w:ascii="Arial" w:hAnsi="Arial" w:cs="Arial"/>
          <w:color w:val="000000"/>
          <w:sz w:val="22"/>
          <w:szCs w:val="22"/>
        </w:rPr>
        <w:t>Ostermann i</w:t>
      </w:r>
      <w:r w:rsidR="00C72C5E">
        <w:rPr>
          <w:rFonts w:ascii="Arial" w:hAnsi="Arial" w:cs="Arial"/>
          <w:color w:val="000000"/>
          <w:sz w:val="22"/>
          <w:szCs w:val="22"/>
        </w:rPr>
        <w:t xml:space="preserve">s emphatic: </w:t>
      </w:r>
      <w:r w:rsidR="004525EB">
        <w:rPr>
          <w:rFonts w:ascii="Arial" w:hAnsi="Arial" w:cs="Arial"/>
          <w:color w:val="000000"/>
          <w:sz w:val="22"/>
          <w:szCs w:val="22"/>
        </w:rPr>
        <w:t>“The leasing industry</w:t>
      </w:r>
      <w:r w:rsidR="009655C7">
        <w:rPr>
          <w:rFonts w:ascii="Arial" w:hAnsi="Arial" w:cs="Arial"/>
          <w:color w:val="000000"/>
          <w:sz w:val="22"/>
          <w:szCs w:val="22"/>
        </w:rPr>
        <w:t xml:space="preserve"> </w:t>
      </w:r>
      <w:r w:rsidR="004525EB">
        <w:rPr>
          <w:rFonts w:ascii="Arial" w:hAnsi="Arial" w:cs="Arial"/>
          <w:color w:val="000000"/>
          <w:sz w:val="22"/>
          <w:szCs w:val="22"/>
        </w:rPr>
        <w:t>is play</w:t>
      </w:r>
      <w:r w:rsidR="006557E5">
        <w:rPr>
          <w:rFonts w:ascii="Arial" w:hAnsi="Arial" w:cs="Arial"/>
          <w:color w:val="000000"/>
          <w:sz w:val="22"/>
          <w:szCs w:val="22"/>
        </w:rPr>
        <w:t xml:space="preserve">ing a </w:t>
      </w:r>
      <w:r w:rsidR="004525EB">
        <w:rPr>
          <w:rFonts w:ascii="Arial" w:hAnsi="Arial" w:cs="Arial"/>
          <w:color w:val="000000"/>
          <w:sz w:val="22"/>
          <w:szCs w:val="22"/>
        </w:rPr>
        <w:t>vital role in</w:t>
      </w:r>
      <w:r w:rsidR="00E41E29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9655C7" w:rsidRPr="009655C7">
        <w:rPr>
          <w:rFonts w:ascii="Arial" w:hAnsi="Arial" w:cs="Arial"/>
          <w:color w:val="000000"/>
          <w:sz w:val="22"/>
          <w:szCs w:val="22"/>
        </w:rPr>
        <w:t>success</w:t>
      </w:r>
      <w:r w:rsidR="009655C7">
        <w:rPr>
          <w:rFonts w:ascii="Arial" w:hAnsi="Arial" w:cs="Arial"/>
          <w:color w:val="000000"/>
          <w:sz w:val="22"/>
          <w:szCs w:val="22"/>
        </w:rPr>
        <w:t>ful transformation of the German economy</w:t>
      </w:r>
      <w:r w:rsidR="00E41E29">
        <w:rPr>
          <w:rFonts w:ascii="Arial" w:hAnsi="Arial" w:cs="Arial"/>
          <w:color w:val="000000"/>
          <w:sz w:val="22"/>
          <w:szCs w:val="22"/>
        </w:rPr>
        <w:t>”</w:t>
      </w:r>
      <w:r w:rsidR="00265BB1" w:rsidRPr="009655C7">
        <w:rPr>
          <w:rFonts w:ascii="Arial" w:hAnsi="Arial" w:cs="Arial"/>
          <w:color w:val="000000"/>
          <w:sz w:val="22"/>
          <w:szCs w:val="22"/>
        </w:rPr>
        <w:t>.</w:t>
      </w:r>
    </w:p>
    <w:p w14:paraId="174B6A49" w14:textId="77777777" w:rsidR="001A5D19" w:rsidRPr="00F04298" w:rsidRDefault="00C72C5E" w:rsidP="00475E91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“B</w:t>
      </w:r>
      <w:r w:rsidR="00E41E29" w:rsidRPr="00C72C5E">
        <w:rPr>
          <w:rFonts w:ascii="Arial" w:hAnsi="Arial" w:cs="Arial"/>
          <w:color w:val="000000"/>
          <w:sz w:val="22"/>
          <w:szCs w:val="22"/>
        </w:rPr>
        <w:t xml:space="preserve">ut </w:t>
      </w:r>
      <w:r w:rsidR="002076E5">
        <w:rPr>
          <w:rFonts w:ascii="Arial" w:hAnsi="Arial" w:cs="Arial"/>
          <w:color w:val="000000"/>
          <w:sz w:val="22"/>
          <w:szCs w:val="22"/>
        </w:rPr>
        <w:t>meeting the challenges of</w:t>
      </w:r>
      <w:r w:rsidR="00E41E29" w:rsidRPr="00C72C5E">
        <w:rPr>
          <w:rFonts w:ascii="Arial" w:hAnsi="Arial" w:cs="Arial"/>
          <w:color w:val="000000"/>
          <w:sz w:val="22"/>
          <w:szCs w:val="22"/>
        </w:rPr>
        <w:t xml:space="preserve"> </w:t>
      </w:r>
      <w:r w:rsidR="002076E5">
        <w:rPr>
          <w:rFonts w:ascii="Arial" w:hAnsi="Arial" w:cs="Arial"/>
          <w:color w:val="000000"/>
          <w:sz w:val="22"/>
          <w:szCs w:val="22"/>
        </w:rPr>
        <w:t>the</w:t>
      </w:r>
      <w:r w:rsidR="00E41E29" w:rsidRPr="00C72C5E">
        <w:rPr>
          <w:rFonts w:ascii="Arial" w:hAnsi="Arial" w:cs="Arial"/>
          <w:color w:val="000000"/>
          <w:sz w:val="22"/>
          <w:szCs w:val="22"/>
        </w:rPr>
        <w:t xml:space="preserve"> transformation process </w:t>
      </w:r>
      <w:r w:rsidRPr="00C72C5E">
        <w:rPr>
          <w:rFonts w:ascii="Arial" w:hAnsi="Arial" w:cs="Arial"/>
          <w:color w:val="000000"/>
          <w:sz w:val="22"/>
          <w:szCs w:val="22"/>
        </w:rPr>
        <w:t>will require a</w:t>
      </w:r>
      <w:r w:rsidR="002076E5">
        <w:rPr>
          <w:rFonts w:ascii="Arial" w:hAnsi="Arial" w:cs="Arial"/>
          <w:color w:val="000000"/>
          <w:sz w:val="22"/>
          <w:szCs w:val="22"/>
        </w:rPr>
        <w:t xml:space="preserve"> concerted effort from po</w:t>
      </w:r>
      <w:r w:rsidRPr="00C72C5E">
        <w:rPr>
          <w:rFonts w:ascii="Arial" w:hAnsi="Arial" w:cs="Arial"/>
          <w:color w:val="000000"/>
          <w:sz w:val="22"/>
          <w:szCs w:val="22"/>
        </w:rPr>
        <w:t>liticians, the business world, scien</w:t>
      </w:r>
      <w:r>
        <w:rPr>
          <w:rFonts w:ascii="Arial" w:hAnsi="Arial" w:cs="Arial"/>
          <w:color w:val="000000"/>
          <w:sz w:val="22"/>
          <w:szCs w:val="22"/>
        </w:rPr>
        <w:t>tists and society a</w:t>
      </w:r>
      <w:r w:rsidR="00ED36C7">
        <w:rPr>
          <w:rFonts w:ascii="Arial" w:hAnsi="Arial" w:cs="Arial"/>
          <w:color w:val="000000"/>
          <w:sz w:val="22"/>
          <w:szCs w:val="22"/>
        </w:rPr>
        <w:t>t large,” insisted Dr. Claudia Cone</w:t>
      </w:r>
      <w:r>
        <w:rPr>
          <w:rFonts w:ascii="Arial" w:hAnsi="Arial" w:cs="Arial"/>
          <w:color w:val="000000"/>
          <w:sz w:val="22"/>
          <w:szCs w:val="22"/>
        </w:rPr>
        <w:t xml:space="preserve">n, head of the BDL’s Management Board. </w:t>
      </w:r>
      <w:r w:rsidRPr="00B91748">
        <w:rPr>
          <w:rFonts w:ascii="Arial" w:hAnsi="Arial" w:cs="Arial"/>
          <w:color w:val="000000"/>
          <w:sz w:val="22"/>
          <w:szCs w:val="22"/>
        </w:rPr>
        <w:t>She highlighted the opportunities that exist for the German economy</w:t>
      </w:r>
      <w:r w:rsidR="004B5D17" w:rsidRPr="00B91748">
        <w:rPr>
          <w:rFonts w:ascii="Arial" w:hAnsi="Arial" w:cs="Arial"/>
          <w:color w:val="000000"/>
          <w:sz w:val="22"/>
          <w:szCs w:val="22"/>
        </w:rPr>
        <w:t>: “</w:t>
      </w:r>
      <w:r w:rsidR="00B91748" w:rsidRPr="00B91748">
        <w:rPr>
          <w:rFonts w:ascii="Arial" w:hAnsi="Arial" w:cs="Arial"/>
          <w:color w:val="000000"/>
          <w:sz w:val="22"/>
          <w:szCs w:val="22"/>
        </w:rPr>
        <w:t>Even if it is now showing its age, our Renewable Energies Act was, i</w:t>
      </w:r>
      <w:r w:rsidR="00B91748">
        <w:rPr>
          <w:rFonts w:ascii="Arial" w:hAnsi="Arial" w:cs="Arial"/>
          <w:color w:val="000000"/>
          <w:sz w:val="22"/>
          <w:szCs w:val="22"/>
        </w:rPr>
        <w:t>n i</w:t>
      </w:r>
      <w:r w:rsidR="00AE3B8F">
        <w:rPr>
          <w:rFonts w:ascii="Arial" w:hAnsi="Arial" w:cs="Arial"/>
          <w:color w:val="000000"/>
          <w:sz w:val="22"/>
          <w:szCs w:val="22"/>
        </w:rPr>
        <w:t xml:space="preserve">ts time, </w:t>
      </w:r>
      <w:r w:rsidR="002076E5">
        <w:rPr>
          <w:rFonts w:ascii="Arial" w:hAnsi="Arial" w:cs="Arial"/>
          <w:color w:val="000000"/>
          <w:sz w:val="22"/>
          <w:szCs w:val="22"/>
        </w:rPr>
        <w:t>a boon for export</w:t>
      </w:r>
      <w:r w:rsidR="00AE3B8F">
        <w:rPr>
          <w:rFonts w:ascii="Arial" w:hAnsi="Arial" w:cs="Arial"/>
          <w:color w:val="000000"/>
          <w:sz w:val="22"/>
          <w:szCs w:val="22"/>
        </w:rPr>
        <w:t>er</w:t>
      </w:r>
      <w:r w:rsidR="002076E5">
        <w:rPr>
          <w:rFonts w:ascii="Arial" w:hAnsi="Arial" w:cs="Arial"/>
          <w:color w:val="000000"/>
          <w:sz w:val="22"/>
          <w:szCs w:val="22"/>
        </w:rPr>
        <w:t>s</w:t>
      </w:r>
      <w:r w:rsidR="00AE3B8F">
        <w:rPr>
          <w:rFonts w:ascii="Arial" w:hAnsi="Arial" w:cs="Arial"/>
          <w:color w:val="000000"/>
          <w:sz w:val="22"/>
          <w:szCs w:val="22"/>
        </w:rPr>
        <w:t xml:space="preserve">. </w:t>
      </w:r>
      <w:r w:rsidR="00AE3B8F" w:rsidRPr="00AE3B8F">
        <w:rPr>
          <w:rFonts w:ascii="Arial" w:hAnsi="Arial" w:cs="Arial"/>
          <w:color w:val="000000"/>
          <w:sz w:val="22"/>
          <w:szCs w:val="22"/>
        </w:rPr>
        <w:t xml:space="preserve">If we </w:t>
      </w:r>
      <w:r w:rsidR="00E62E0B" w:rsidRPr="00AE3B8F">
        <w:rPr>
          <w:rFonts w:ascii="Arial" w:hAnsi="Arial" w:cs="Arial"/>
          <w:color w:val="000000"/>
          <w:sz w:val="22"/>
          <w:szCs w:val="22"/>
        </w:rPr>
        <w:t xml:space="preserve">as </w:t>
      </w:r>
      <w:r w:rsidR="00AE3B8F" w:rsidRPr="00AE3B8F">
        <w:rPr>
          <w:rFonts w:ascii="Arial" w:hAnsi="Arial" w:cs="Arial"/>
          <w:color w:val="000000"/>
          <w:sz w:val="22"/>
          <w:szCs w:val="22"/>
        </w:rPr>
        <w:t xml:space="preserve">a national economy </w:t>
      </w:r>
      <w:r w:rsidR="002076E5">
        <w:rPr>
          <w:rFonts w:ascii="Arial" w:hAnsi="Arial" w:cs="Arial"/>
          <w:color w:val="000000"/>
          <w:sz w:val="22"/>
          <w:szCs w:val="22"/>
        </w:rPr>
        <w:t>press on with</w:t>
      </w:r>
      <w:r w:rsidR="00AE3B8F" w:rsidRPr="00AE3B8F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E62E0B" w:rsidRPr="00AE3B8F">
        <w:rPr>
          <w:rFonts w:ascii="Arial" w:hAnsi="Arial" w:cs="Arial"/>
          <w:color w:val="000000"/>
          <w:sz w:val="22"/>
          <w:szCs w:val="22"/>
        </w:rPr>
        <w:t xml:space="preserve">transformation process, </w:t>
      </w:r>
      <w:r w:rsidR="000059E3">
        <w:rPr>
          <w:rFonts w:ascii="Arial" w:hAnsi="Arial" w:cs="Arial"/>
          <w:color w:val="000000"/>
          <w:sz w:val="22"/>
          <w:szCs w:val="22"/>
        </w:rPr>
        <w:t>there is every chance</w:t>
      </w:r>
      <w:r w:rsidR="00AE3B8F" w:rsidRPr="00AE3B8F">
        <w:rPr>
          <w:rFonts w:ascii="Arial" w:hAnsi="Arial" w:cs="Arial"/>
          <w:color w:val="000000"/>
          <w:sz w:val="22"/>
          <w:szCs w:val="22"/>
        </w:rPr>
        <w:t xml:space="preserve"> that German companies will establish themselves</w:t>
      </w:r>
      <w:r w:rsidR="00AE3B8F">
        <w:rPr>
          <w:rFonts w:ascii="Arial" w:hAnsi="Arial" w:cs="Arial"/>
          <w:color w:val="000000"/>
          <w:sz w:val="22"/>
          <w:szCs w:val="22"/>
        </w:rPr>
        <w:t xml:space="preserve"> as </w:t>
      </w:r>
      <w:r w:rsidR="002076E5">
        <w:rPr>
          <w:rFonts w:ascii="Arial" w:hAnsi="Arial" w:cs="Arial"/>
          <w:color w:val="000000"/>
          <w:sz w:val="22"/>
          <w:szCs w:val="22"/>
        </w:rPr>
        <w:t>leaders in their respective market</w:t>
      </w:r>
      <w:r w:rsidR="00AE3B8F">
        <w:rPr>
          <w:rFonts w:ascii="Arial" w:hAnsi="Arial" w:cs="Arial"/>
          <w:color w:val="000000"/>
          <w:sz w:val="22"/>
          <w:szCs w:val="22"/>
        </w:rPr>
        <w:t xml:space="preserve">s, and this will secure </w:t>
      </w:r>
      <w:r w:rsidR="00F04298">
        <w:rPr>
          <w:rFonts w:ascii="Arial" w:hAnsi="Arial" w:cs="Arial"/>
          <w:color w:val="000000"/>
          <w:sz w:val="22"/>
          <w:szCs w:val="22"/>
        </w:rPr>
        <w:t>our</w:t>
      </w:r>
      <w:r w:rsidR="00AE3B8F">
        <w:rPr>
          <w:rFonts w:ascii="Arial" w:hAnsi="Arial" w:cs="Arial"/>
          <w:color w:val="000000"/>
          <w:sz w:val="22"/>
          <w:szCs w:val="22"/>
        </w:rPr>
        <w:t xml:space="preserve"> prosperity.” </w:t>
      </w:r>
      <w:r w:rsidR="00F66CF8">
        <w:rPr>
          <w:rFonts w:ascii="Arial" w:hAnsi="Arial" w:cs="Arial"/>
          <w:color w:val="000000"/>
          <w:sz w:val="22"/>
          <w:szCs w:val="22"/>
        </w:rPr>
        <w:t>But s</w:t>
      </w:r>
      <w:r w:rsidR="00F04298">
        <w:rPr>
          <w:rFonts w:ascii="Arial" w:hAnsi="Arial" w:cs="Arial"/>
          <w:color w:val="000000"/>
          <w:sz w:val="22"/>
          <w:szCs w:val="22"/>
        </w:rPr>
        <w:t>he added</w:t>
      </w:r>
      <w:r w:rsidR="00C00CFC">
        <w:rPr>
          <w:rFonts w:ascii="Arial" w:hAnsi="Arial" w:cs="Arial"/>
          <w:color w:val="000000"/>
          <w:sz w:val="22"/>
          <w:szCs w:val="22"/>
        </w:rPr>
        <w:t xml:space="preserve"> that businesses needed </w:t>
      </w:r>
      <w:r w:rsidR="00F04298">
        <w:rPr>
          <w:rFonts w:ascii="Arial" w:hAnsi="Arial" w:cs="Arial"/>
          <w:color w:val="000000"/>
          <w:sz w:val="22"/>
          <w:szCs w:val="22"/>
        </w:rPr>
        <w:t>a dependable and transparent regulatory framework</w:t>
      </w:r>
      <w:r w:rsidR="00F66CF8">
        <w:rPr>
          <w:rFonts w:ascii="Arial" w:hAnsi="Arial" w:cs="Arial"/>
          <w:color w:val="000000"/>
          <w:sz w:val="22"/>
          <w:szCs w:val="22"/>
        </w:rPr>
        <w:t>, a robust mix of financ</w:t>
      </w:r>
      <w:r w:rsidR="00C00CFC">
        <w:rPr>
          <w:rFonts w:ascii="Arial" w:hAnsi="Arial" w:cs="Arial"/>
          <w:color w:val="000000"/>
          <w:sz w:val="22"/>
          <w:szCs w:val="22"/>
        </w:rPr>
        <w:t xml:space="preserve">ing </w:t>
      </w:r>
      <w:r w:rsidR="000059E3">
        <w:rPr>
          <w:rFonts w:ascii="Arial" w:hAnsi="Arial" w:cs="Arial"/>
          <w:color w:val="000000"/>
          <w:sz w:val="22"/>
          <w:szCs w:val="22"/>
        </w:rPr>
        <w:t xml:space="preserve">tools, </w:t>
      </w:r>
      <w:r w:rsidR="00C00CFC">
        <w:rPr>
          <w:rFonts w:ascii="Arial" w:hAnsi="Arial" w:cs="Arial"/>
          <w:color w:val="000000"/>
          <w:sz w:val="22"/>
          <w:szCs w:val="22"/>
        </w:rPr>
        <w:t>more gener</w:t>
      </w:r>
      <w:r w:rsidR="00F34538">
        <w:rPr>
          <w:rFonts w:ascii="Arial" w:hAnsi="Arial" w:cs="Arial"/>
          <w:color w:val="000000"/>
          <w:sz w:val="22"/>
          <w:szCs w:val="22"/>
        </w:rPr>
        <w:t>ous and</w:t>
      </w:r>
      <w:r w:rsidR="00C00CFC">
        <w:rPr>
          <w:rFonts w:ascii="Arial" w:hAnsi="Arial" w:cs="Arial"/>
          <w:color w:val="000000"/>
          <w:sz w:val="22"/>
          <w:szCs w:val="22"/>
        </w:rPr>
        <w:t xml:space="preserve"> better targeted </w:t>
      </w:r>
      <w:r w:rsidR="00F66CF8">
        <w:rPr>
          <w:rFonts w:ascii="Arial" w:hAnsi="Arial" w:cs="Arial"/>
          <w:color w:val="000000"/>
          <w:sz w:val="22"/>
          <w:szCs w:val="22"/>
        </w:rPr>
        <w:t>supp</w:t>
      </w:r>
      <w:r w:rsidR="000059E3">
        <w:rPr>
          <w:rFonts w:ascii="Arial" w:hAnsi="Arial" w:cs="Arial"/>
          <w:color w:val="000000"/>
          <w:sz w:val="22"/>
          <w:szCs w:val="22"/>
        </w:rPr>
        <w:t>ort for research and innovation, as well as</w:t>
      </w:r>
      <w:r w:rsidR="00F66CF8">
        <w:rPr>
          <w:rFonts w:ascii="Arial" w:hAnsi="Arial" w:cs="Arial"/>
          <w:color w:val="000000"/>
          <w:sz w:val="22"/>
          <w:szCs w:val="22"/>
        </w:rPr>
        <w:t xml:space="preserve"> </w:t>
      </w:r>
      <w:r w:rsidR="000059E3">
        <w:rPr>
          <w:rFonts w:ascii="Arial" w:hAnsi="Arial" w:cs="Arial"/>
          <w:color w:val="000000"/>
          <w:sz w:val="22"/>
          <w:szCs w:val="22"/>
        </w:rPr>
        <w:t>operating conditions that allowed them to plan with certainty.</w:t>
      </w:r>
    </w:p>
    <w:p w14:paraId="43393B0D" w14:textId="77777777" w:rsidR="00BE55D5" w:rsidRPr="00F66CF8" w:rsidRDefault="00F66CF8" w:rsidP="00BE55D5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F66CF8">
        <w:rPr>
          <w:rFonts w:ascii="Arial" w:hAnsi="Arial" w:cs="Arial"/>
          <w:b/>
          <w:bCs/>
          <w:color w:val="000000"/>
          <w:sz w:val="22"/>
          <w:szCs w:val="22"/>
        </w:rPr>
        <w:t>Creating investment incentives and up-to-date support prog</w:t>
      </w:r>
      <w:r>
        <w:rPr>
          <w:rFonts w:ascii="Arial" w:hAnsi="Arial" w:cs="Arial"/>
          <w:b/>
          <w:bCs/>
          <w:color w:val="000000"/>
          <w:sz w:val="22"/>
          <w:szCs w:val="22"/>
        </w:rPr>
        <w:t>rams</w:t>
      </w:r>
    </w:p>
    <w:p w14:paraId="059B34F9" w14:textId="77777777" w:rsidR="00C623B7" w:rsidRPr="009D627F" w:rsidRDefault="00E30BAC" w:rsidP="00475E91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30BAC">
        <w:rPr>
          <w:rFonts w:ascii="Arial" w:hAnsi="Arial" w:cs="Arial"/>
          <w:color w:val="000000"/>
          <w:sz w:val="22"/>
          <w:szCs w:val="22"/>
        </w:rPr>
        <w:t>As well as</w:t>
      </w:r>
      <w:r w:rsidR="00F66CF8" w:rsidRPr="00E30BAC">
        <w:rPr>
          <w:rFonts w:ascii="Arial" w:hAnsi="Arial" w:cs="Arial"/>
          <w:color w:val="000000"/>
          <w:sz w:val="22"/>
          <w:szCs w:val="22"/>
        </w:rPr>
        <w:t xml:space="preserve"> speeding up approval procedures and </w:t>
      </w:r>
      <w:r w:rsidRPr="00E30BAC">
        <w:rPr>
          <w:rFonts w:ascii="Arial" w:hAnsi="Arial" w:cs="Arial"/>
          <w:color w:val="000000"/>
          <w:sz w:val="22"/>
          <w:szCs w:val="22"/>
        </w:rPr>
        <w:t>cutting red tape</w:t>
      </w:r>
      <w:r>
        <w:rPr>
          <w:rFonts w:ascii="Arial" w:hAnsi="Arial" w:cs="Arial"/>
          <w:color w:val="000000"/>
          <w:sz w:val="22"/>
          <w:szCs w:val="22"/>
        </w:rPr>
        <w:t>, incentivizing investment</w:t>
      </w:r>
      <w:r w:rsidR="002A3452">
        <w:rPr>
          <w:rFonts w:ascii="Arial" w:hAnsi="Arial" w:cs="Arial"/>
          <w:color w:val="000000"/>
          <w:sz w:val="22"/>
          <w:szCs w:val="22"/>
        </w:rPr>
        <w:t>s in sustainability would seem</w:t>
      </w:r>
      <w:r>
        <w:rPr>
          <w:rFonts w:ascii="Arial" w:hAnsi="Arial" w:cs="Arial"/>
          <w:color w:val="000000"/>
          <w:sz w:val="22"/>
          <w:szCs w:val="22"/>
        </w:rPr>
        <w:t xml:space="preserve"> to be the way forward. </w:t>
      </w:r>
      <w:r w:rsidR="00E303F2" w:rsidRPr="009D627F">
        <w:rPr>
          <w:rFonts w:ascii="Arial" w:hAnsi="Arial" w:cs="Arial"/>
          <w:color w:val="000000"/>
          <w:sz w:val="22"/>
          <w:szCs w:val="22"/>
        </w:rPr>
        <w:t>“P</w:t>
      </w:r>
      <w:r w:rsidRPr="009D627F">
        <w:rPr>
          <w:rFonts w:ascii="Arial" w:hAnsi="Arial" w:cs="Arial"/>
          <w:color w:val="000000"/>
          <w:sz w:val="22"/>
          <w:szCs w:val="22"/>
        </w:rPr>
        <w:t>ublic</w:t>
      </w:r>
      <w:r w:rsidR="00E303F2" w:rsidRPr="009D627F">
        <w:rPr>
          <w:rFonts w:ascii="Arial" w:hAnsi="Arial" w:cs="Arial"/>
          <w:color w:val="000000"/>
          <w:sz w:val="22"/>
          <w:szCs w:val="22"/>
        </w:rPr>
        <w:t>ly funded subs</w:t>
      </w:r>
      <w:r w:rsidR="002A3452">
        <w:rPr>
          <w:rFonts w:ascii="Arial" w:hAnsi="Arial" w:cs="Arial"/>
          <w:color w:val="000000"/>
          <w:sz w:val="22"/>
          <w:szCs w:val="22"/>
        </w:rPr>
        <w:t>idy programs can help investors get green projects</w:t>
      </w:r>
      <w:r w:rsidR="00E303F2" w:rsidRPr="009D627F">
        <w:rPr>
          <w:rFonts w:ascii="Arial" w:hAnsi="Arial" w:cs="Arial"/>
          <w:color w:val="000000"/>
          <w:sz w:val="22"/>
          <w:szCs w:val="22"/>
        </w:rPr>
        <w:t xml:space="preserve"> up and running</w:t>
      </w:r>
      <w:r w:rsidR="009D627F" w:rsidRPr="009D627F">
        <w:rPr>
          <w:rFonts w:ascii="Arial" w:hAnsi="Arial" w:cs="Arial"/>
          <w:color w:val="000000"/>
          <w:sz w:val="22"/>
          <w:szCs w:val="22"/>
        </w:rPr>
        <w:t xml:space="preserve"> in the mar</w:t>
      </w:r>
      <w:r w:rsidR="002A3452">
        <w:rPr>
          <w:rFonts w:ascii="Arial" w:hAnsi="Arial" w:cs="Arial"/>
          <w:color w:val="000000"/>
          <w:sz w:val="22"/>
          <w:szCs w:val="22"/>
        </w:rPr>
        <w:t>ketplace, while</w:t>
      </w:r>
      <w:r w:rsidR="009D627F">
        <w:rPr>
          <w:rFonts w:ascii="Arial" w:hAnsi="Arial" w:cs="Arial"/>
          <w:color w:val="000000"/>
          <w:sz w:val="22"/>
          <w:szCs w:val="22"/>
        </w:rPr>
        <w:t xml:space="preserve"> leasing allows companies to switch over quickly to new technologies,” commented Ostermann. </w:t>
      </w:r>
      <w:r w:rsidR="00ED36C7">
        <w:rPr>
          <w:rFonts w:ascii="Arial" w:hAnsi="Arial" w:cs="Arial"/>
          <w:color w:val="000000"/>
          <w:sz w:val="22"/>
          <w:szCs w:val="22"/>
        </w:rPr>
        <w:t>“</w:t>
      </w:r>
      <w:r w:rsidR="009D627F" w:rsidRPr="009D627F">
        <w:rPr>
          <w:rFonts w:ascii="Arial" w:hAnsi="Arial" w:cs="Arial"/>
          <w:color w:val="000000"/>
          <w:sz w:val="22"/>
          <w:szCs w:val="22"/>
        </w:rPr>
        <w:t>The innovation premium to promote electric cars shows just how s</w:t>
      </w:r>
      <w:r w:rsidR="009D627F">
        <w:rPr>
          <w:rFonts w:ascii="Arial" w:hAnsi="Arial" w:cs="Arial"/>
          <w:color w:val="000000"/>
          <w:sz w:val="22"/>
          <w:szCs w:val="22"/>
        </w:rPr>
        <w:t>uccessfully leas</w:t>
      </w:r>
      <w:r w:rsidR="001E0E00">
        <w:rPr>
          <w:rFonts w:ascii="Arial" w:hAnsi="Arial" w:cs="Arial"/>
          <w:color w:val="000000"/>
          <w:sz w:val="22"/>
          <w:szCs w:val="22"/>
        </w:rPr>
        <w:t>ing ca</w:t>
      </w:r>
      <w:r w:rsidR="00ED36C7">
        <w:rPr>
          <w:rFonts w:ascii="Arial" w:hAnsi="Arial" w:cs="Arial"/>
          <w:color w:val="000000"/>
          <w:sz w:val="22"/>
          <w:szCs w:val="22"/>
        </w:rPr>
        <w:t xml:space="preserve">n complement funding programs. </w:t>
      </w:r>
      <w:r w:rsidR="001E0E00">
        <w:rPr>
          <w:rFonts w:ascii="Arial" w:hAnsi="Arial" w:cs="Arial"/>
          <w:color w:val="000000"/>
          <w:sz w:val="22"/>
          <w:szCs w:val="22"/>
        </w:rPr>
        <w:t>Which is</w:t>
      </w:r>
      <w:r w:rsidR="009D627F">
        <w:rPr>
          <w:rFonts w:ascii="Arial" w:hAnsi="Arial" w:cs="Arial"/>
          <w:color w:val="000000"/>
          <w:sz w:val="22"/>
          <w:szCs w:val="22"/>
        </w:rPr>
        <w:t xml:space="preserve"> </w:t>
      </w:r>
      <w:r w:rsidR="00A7734F">
        <w:rPr>
          <w:rFonts w:ascii="Arial" w:hAnsi="Arial" w:cs="Arial"/>
          <w:color w:val="000000"/>
          <w:sz w:val="22"/>
          <w:szCs w:val="22"/>
        </w:rPr>
        <w:t>why greater attention should be paid to leasing in the formulation of funding policy.”</w:t>
      </w:r>
    </w:p>
    <w:p w14:paraId="2E4BE05E" w14:textId="77777777" w:rsidR="008B55EE" w:rsidRPr="007D2014" w:rsidRDefault="00A7734F" w:rsidP="00475E91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7D2014">
        <w:rPr>
          <w:rFonts w:ascii="Arial" w:hAnsi="Arial" w:cs="Arial"/>
          <w:color w:val="000000"/>
          <w:sz w:val="22"/>
          <w:szCs w:val="22"/>
        </w:rPr>
        <w:t xml:space="preserve">Instead, policymakers </w:t>
      </w:r>
      <w:r w:rsidR="001E0E00">
        <w:rPr>
          <w:rFonts w:ascii="Arial" w:hAnsi="Arial" w:cs="Arial"/>
          <w:color w:val="000000"/>
          <w:sz w:val="22"/>
          <w:szCs w:val="22"/>
        </w:rPr>
        <w:t xml:space="preserve">tend to </w:t>
      </w:r>
      <w:r w:rsidRPr="007D2014">
        <w:rPr>
          <w:rFonts w:ascii="Arial" w:hAnsi="Arial" w:cs="Arial"/>
          <w:color w:val="000000"/>
          <w:sz w:val="22"/>
          <w:szCs w:val="22"/>
        </w:rPr>
        <w:t xml:space="preserve">adhere to </w:t>
      </w:r>
      <w:r w:rsidR="00693728" w:rsidRPr="007D2014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7D2014">
        <w:rPr>
          <w:rFonts w:ascii="Arial" w:hAnsi="Arial" w:cs="Arial"/>
          <w:color w:val="000000"/>
          <w:sz w:val="22"/>
          <w:szCs w:val="22"/>
        </w:rPr>
        <w:t>principle of ownership</w:t>
      </w:r>
      <w:r w:rsidR="001E0E00">
        <w:rPr>
          <w:rFonts w:ascii="Arial" w:hAnsi="Arial" w:cs="Arial"/>
          <w:color w:val="000000"/>
          <w:sz w:val="22"/>
          <w:szCs w:val="22"/>
        </w:rPr>
        <w:t xml:space="preserve"> rather than</w:t>
      </w:r>
      <w:r w:rsidR="00693728" w:rsidRPr="007D2014">
        <w:rPr>
          <w:rFonts w:ascii="Arial" w:hAnsi="Arial" w:cs="Arial"/>
          <w:color w:val="000000"/>
          <w:sz w:val="22"/>
          <w:szCs w:val="22"/>
        </w:rPr>
        <w:t xml:space="preserve"> </w:t>
      </w:r>
      <w:r w:rsidR="00F34538">
        <w:rPr>
          <w:rFonts w:ascii="Arial" w:hAnsi="Arial" w:cs="Arial"/>
          <w:color w:val="000000"/>
          <w:sz w:val="22"/>
          <w:szCs w:val="22"/>
        </w:rPr>
        <w:t xml:space="preserve">the principle </w:t>
      </w:r>
      <w:r w:rsidR="00693728" w:rsidRPr="007D2014">
        <w:rPr>
          <w:rFonts w:ascii="Arial" w:hAnsi="Arial" w:cs="Arial"/>
          <w:color w:val="000000"/>
          <w:sz w:val="22"/>
          <w:szCs w:val="22"/>
        </w:rPr>
        <w:t xml:space="preserve">of use and usefulness when they are drawing up funding programs. </w:t>
      </w:r>
      <w:r w:rsidR="00237195" w:rsidRPr="007D2014">
        <w:rPr>
          <w:rFonts w:ascii="Arial" w:hAnsi="Arial" w:cs="Arial"/>
          <w:color w:val="000000"/>
          <w:sz w:val="22"/>
          <w:szCs w:val="22"/>
        </w:rPr>
        <w:t>“That misses the point of entrep</w:t>
      </w:r>
      <w:r w:rsidR="00F34538">
        <w:rPr>
          <w:rFonts w:ascii="Arial" w:hAnsi="Arial" w:cs="Arial"/>
          <w:color w:val="000000"/>
          <w:sz w:val="22"/>
          <w:szCs w:val="22"/>
        </w:rPr>
        <w:t>reneurial activity. For most</w:t>
      </w:r>
      <w:r w:rsidR="00237195" w:rsidRPr="007D2014">
        <w:rPr>
          <w:rFonts w:ascii="Arial" w:hAnsi="Arial" w:cs="Arial"/>
          <w:color w:val="000000"/>
          <w:sz w:val="22"/>
          <w:szCs w:val="22"/>
        </w:rPr>
        <w:t xml:space="preserve"> companies, it is the use and usefulness of an asset that mat</w:t>
      </w:r>
      <w:r w:rsidR="001E0E00">
        <w:rPr>
          <w:rFonts w:ascii="Arial" w:hAnsi="Arial" w:cs="Arial"/>
          <w:color w:val="000000"/>
          <w:sz w:val="22"/>
          <w:szCs w:val="22"/>
        </w:rPr>
        <w:t xml:space="preserve">ters, and not who owns it. </w:t>
      </w:r>
      <w:r w:rsidR="00F34538">
        <w:rPr>
          <w:rFonts w:ascii="Arial" w:hAnsi="Arial" w:cs="Arial"/>
          <w:color w:val="000000"/>
          <w:sz w:val="22"/>
          <w:szCs w:val="22"/>
        </w:rPr>
        <w:t>This makes perfect sense when</w:t>
      </w:r>
      <w:r w:rsidR="00237195" w:rsidRPr="007D2014">
        <w:rPr>
          <w:rFonts w:ascii="Arial" w:hAnsi="Arial" w:cs="Arial"/>
          <w:color w:val="000000"/>
          <w:sz w:val="22"/>
          <w:szCs w:val="22"/>
        </w:rPr>
        <w:t xml:space="preserve"> sustainability </w:t>
      </w:r>
      <w:r w:rsidR="006F18CF" w:rsidRPr="007D2014">
        <w:rPr>
          <w:rFonts w:ascii="Arial" w:hAnsi="Arial" w:cs="Arial"/>
          <w:color w:val="000000"/>
          <w:sz w:val="22"/>
          <w:szCs w:val="22"/>
        </w:rPr>
        <w:t xml:space="preserve">is part </w:t>
      </w:r>
      <w:r w:rsidR="001E0E00">
        <w:rPr>
          <w:rFonts w:ascii="Arial" w:hAnsi="Arial" w:cs="Arial"/>
          <w:color w:val="000000"/>
          <w:sz w:val="22"/>
          <w:szCs w:val="22"/>
        </w:rPr>
        <w:t>of the considera</w:t>
      </w:r>
      <w:r w:rsidR="00F34538">
        <w:rPr>
          <w:rFonts w:ascii="Arial" w:hAnsi="Arial" w:cs="Arial"/>
          <w:color w:val="000000"/>
          <w:sz w:val="22"/>
          <w:szCs w:val="22"/>
        </w:rPr>
        <w:t>tion</w:t>
      </w:r>
      <w:r w:rsidR="006F18CF" w:rsidRPr="007D2014">
        <w:rPr>
          <w:rFonts w:ascii="Arial" w:hAnsi="Arial" w:cs="Arial"/>
          <w:color w:val="000000"/>
          <w:sz w:val="22"/>
          <w:szCs w:val="22"/>
        </w:rPr>
        <w:t xml:space="preserve">,” continued Dr. Conen. </w:t>
      </w:r>
      <w:r w:rsidR="007D2014">
        <w:rPr>
          <w:rFonts w:ascii="Arial" w:hAnsi="Arial" w:cs="Arial"/>
          <w:color w:val="000000"/>
          <w:sz w:val="22"/>
          <w:szCs w:val="22"/>
        </w:rPr>
        <w:t xml:space="preserve">She believes </w:t>
      </w:r>
      <w:r w:rsidR="006F18CF" w:rsidRPr="007D2014">
        <w:rPr>
          <w:rFonts w:ascii="Arial" w:hAnsi="Arial" w:cs="Arial"/>
          <w:color w:val="000000"/>
          <w:sz w:val="22"/>
          <w:szCs w:val="22"/>
        </w:rPr>
        <w:t>the conditions drawn up for participation in funding programs</w:t>
      </w:r>
      <w:r w:rsidR="007D2014">
        <w:rPr>
          <w:rFonts w:ascii="Arial" w:hAnsi="Arial" w:cs="Arial"/>
          <w:color w:val="000000"/>
          <w:sz w:val="22"/>
          <w:szCs w:val="22"/>
        </w:rPr>
        <w:t xml:space="preserve"> should reflect this</w:t>
      </w:r>
      <w:r w:rsidR="006F18CF" w:rsidRPr="007D2014">
        <w:rPr>
          <w:rFonts w:ascii="Arial" w:hAnsi="Arial" w:cs="Arial"/>
          <w:color w:val="000000"/>
          <w:sz w:val="22"/>
          <w:szCs w:val="22"/>
        </w:rPr>
        <w:t xml:space="preserve">. </w:t>
      </w:r>
      <w:r w:rsidR="007D2014">
        <w:rPr>
          <w:rFonts w:ascii="Arial" w:hAnsi="Arial" w:cs="Arial"/>
          <w:color w:val="000000"/>
          <w:sz w:val="22"/>
          <w:szCs w:val="22"/>
        </w:rPr>
        <w:t>“</w:t>
      </w:r>
      <w:r w:rsidR="00BF6687" w:rsidRPr="007D2014">
        <w:rPr>
          <w:rFonts w:ascii="Arial" w:hAnsi="Arial" w:cs="Arial"/>
          <w:color w:val="000000"/>
          <w:sz w:val="22"/>
          <w:szCs w:val="22"/>
        </w:rPr>
        <w:t>We need targeted, calculable incentives</w:t>
      </w:r>
      <w:r w:rsidR="00EF0639" w:rsidRPr="007D2014">
        <w:rPr>
          <w:rFonts w:ascii="Arial" w:hAnsi="Arial" w:cs="Arial"/>
          <w:color w:val="000000"/>
          <w:sz w:val="22"/>
          <w:szCs w:val="22"/>
        </w:rPr>
        <w:t xml:space="preserve"> </w:t>
      </w:r>
      <w:r w:rsidR="007D2014">
        <w:rPr>
          <w:rFonts w:ascii="Arial" w:hAnsi="Arial" w:cs="Arial"/>
          <w:color w:val="000000"/>
          <w:sz w:val="22"/>
          <w:szCs w:val="22"/>
        </w:rPr>
        <w:t>that a</w:t>
      </w:r>
      <w:r w:rsidR="00EF0639" w:rsidRPr="007D2014">
        <w:rPr>
          <w:rFonts w:ascii="Arial" w:hAnsi="Arial" w:cs="Arial"/>
          <w:color w:val="000000"/>
          <w:sz w:val="22"/>
          <w:szCs w:val="22"/>
        </w:rPr>
        <w:t>re not designed to favour one form of financing over another</w:t>
      </w:r>
      <w:r w:rsidR="001E0E00">
        <w:rPr>
          <w:rFonts w:ascii="Arial" w:hAnsi="Arial" w:cs="Arial"/>
          <w:color w:val="000000"/>
          <w:sz w:val="22"/>
          <w:szCs w:val="22"/>
        </w:rPr>
        <w:t xml:space="preserve">, and </w:t>
      </w:r>
      <w:r w:rsidR="002241A5">
        <w:rPr>
          <w:rFonts w:ascii="Arial" w:hAnsi="Arial" w:cs="Arial"/>
          <w:color w:val="000000"/>
          <w:sz w:val="22"/>
          <w:szCs w:val="22"/>
        </w:rPr>
        <w:t>that will revitalize</w:t>
      </w:r>
      <w:r w:rsidR="001E0E00" w:rsidRPr="007D2014">
        <w:rPr>
          <w:rFonts w:ascii="Arial" w:hAnsi="Arial" w:cs="Arial"/>
          <w:color w:val="000000"/>
          <w:sz w:val="22"/>
          <w:szCs w:val="22"/>
        </w:rPr>
        <w:t xml:space="preserve"> investment</w:t>
      </w:r>
      <w:r w:rsidR="002241A5">
        <w:rPr>
          <w:rFonts w:ascii="Arial" w:hAnsi="Arial" w:cs="Arial"/>
          <w:color w:val="000000"/>
          <w:sz w:val="22"/>
          <w:szCs w:val="22"/>
        </w:rPr>
        <w:t xml:space="preserve"> activity</w:t>
      </w:r>
      <w:r w:rsidR="001E0E00" w:rsidRPr="007D2014">
        <w:rPr>
          <w:rFonts w:ascii="Arial" w:hAnsi="Arial" w:cs="Arial"/>
          <w:color w:val="000000"/>
          <w:sz w:val="22"/>
          <w:szCs w:val="22"/>
        </w:rPr>
        <w:t xml:space="preserve"> in Germany</w:t>
      </w:r>
      <w:r w:rsidR="007D2014" w:rsidRPr="007D2014">
        <w:rPr>
          <w:rFonts w:ascii="Arial" w:hAnsi="Arial" w:cs="Arial"/>
          <w:color w:val="000000"/>
          <w:sz w:val="22"/>
          <w:szCs w:val="22"/>
        </w:rPr>
        <w:t>.”</w:t>
      </w:r>
    </w:p>
    <w:p w14:paraId="2FEB3A8F" w14:textId="77777777" w:rsidR="008639BB" w:rsidRPr="00AC4CDE" w:rsidRDefault="007D2014" w:rsidP="00475E91">
      <w:pPr>
        <w:widowControl w:val="0"/>
        <w:autoSpaceDE w:val="0"/>
        <w:autoSpaceDN w:val="0"/>
        <w:adjustRightInd w:val="0"/>
        <w:spacing w:after="120"/>
        <w:ind w:right="-172"/>
        <w:rPr>
          <w:rFonts w:ascii="Arial" w:hAnsi="Arial" w:cs="Arial"/>
          <w:b/>
          <w:bCs/>
          <w:sz w:val="22"/>
          <w:szCs w:val="22"/>
        </w:rPr>
      </w:pPr>
      <w:r w:rsidRPr="00AC4CDE">
        <w:rPr>
          <w:rFonts w:ascii="Arial" w:hAnsi="Arial" w:cs="Arial"/>
          <w:b/>
          <w:bCs/>
          <w:sz w:val="22"/>
          <w:szCs w:val="22"/>
        </w:rPr>
        <w:t xml:space="preserve">Cutting red tape and </w:t>
      </w:r>
      <w:r w:rsidR="00AC4CDE">
        <w:rPr>
          <w:rFonts w:ascii="Arial" w:hAnsi="Arial" w:cs="Arial"/>
          <w:b/>
          <w:bCs/>
          <w:sz w:val="22"/>
          <w:szCs w:val="22"/>
        </w:rPr>
        <w:t xml:space="preserve">achieving a regulatory environment that </w:t>
      </w:r>
      <w:r w:rsidR="00ED36C7">
        <w:rPr>
          <w:rFonts w:ascii="Arial" w:hAnsi="Arial" w:cs="Arial"/>
          <w:b/>
          <w:bCs/>
          <w:sz w:val="22"/>
          <w:szCs w:val="22"/>
        </w:rPr>
        <w:t>differentiates</w:t>
      </w:r>
      <w:r w:rsidR="00AC4CDE">
        <w:rPr>
          <w:rFonts w:ascii="Arial" w:hAnsi="Arial" w:cs="Arial"/>
          <w:b/>
          <w:bCs/>
          <w:sz w:val="22"/>
          <w:szCs w:val="22"/>
        </w:rPr>
        <w:t xml:space="preserve"> better between levels of risk</w:t>
      </w:r>
    </w:p>
    <w:p w14:paraId="6E325391" w14:textId="61776892" w:rsidR="00E25D05" w:rsidRDefault="00AC4CDE" w:rsidP="00475E91">
      <w:pPr>
        <w:widowControl w:val="0"/>
        <w:autoSpaceDE w:val="0"/>
        <w:autoSpaceDN w:val="0"/>
        <w:adjustRightInd w:val="0"/>
        <w:spacing w:after="120"/>
        <w:ind w:right="-23"/>
        <w:rPr>
          <w:rFonts w:ascii="Arial" w:hAnsi="Arial" w:cs="Arial"/>
          <w:bCs/>
          <w:sz w:val="22"/>
          <w:szCs w:val="22"/>
        </w:rPr>
      </w:pPr>
      <w:r w:rsidRPr="00A571FB">
        <w:rPr>
          <w:rFonts w:ascii="Arial" w:hAnsi="Arial" w:cs="Arial"/>
          <w:bCs/>
          <w:sz w:val="22"/>
          <w:szCs w:val="22"/>
        </w:rPr>
        <w:t xml:space="preserve">Ostermann sees excessive bureaucracy and </w:t>
      </w:r>
      <w:r w:rsidR="00A571FB" w:rsidRPr="00A571FB">
        <w:rPr>
          <w:rFonts w:ascii="Arial" w:hAnsi="Arial" w:cs="Arial"/>
          <w:bCs/>
          <w:sz w:val="22"/>
          <w:szCs w:val="22"/>
        </w:rPr>
        <w:t xml:space="preserve">an unduly harsh regulatory </w:t>
      </w:r>
      <w:r w:rsidR="0015050B">
        <w:rPr>
          <w:rFonts w:ascii="Arial" w:hAnsi="Arial" w:cs="Arial"/>
          <w:bCs/>
          <w:sz w:val="22"/>
          <w:szCs w:val="22"/>
        </w:rPr>
        <w:t>regime as</w:t>
      </w:r>
      <w:r w:rsidR="00A571FB" w:rsidRPr="00A571FB">
        <w:rPr>
          <w:rFonts w:ascii="Arial" w:hAnsi="Arial" w:cs="Arial"/>
          <w:bCs/>
          <w:sz w:val="22"/>
          <w:szCs w:val="22"/>
        </w:rPr>
        <w:t xml:space="preserve"> f</w:t>
      </w:r>
      <w:r w:rsidR="00A571FB">
        <w:rPr>
          <w:rFonts w:ascii="Arial" w:hAnsi="Arial" w:cs="Arial"/>
          <w:bCs/>
          <w:sz w:val="22"/>
          <w:szCs w:val="22"/>
        </w:rPr>
        <w:t>urther i</w:t>
      </w:r>
      <w:r w:rsidR="00911FB1">
        <w:rPr>
          <w:rFonts w:ascii="Arial" w:hAnsi="Arial" w:cs="Arial"/>
          <w:bCs/>
          <w:sz w:val="22"/>
          <w:szCs w:val="22"/>
        </w:rPr>
        <w:t>mpediments that are preventing the</w:t>
      </w:r>
      <w:r w:rsidR="003F4F97">
        <w:rPr>
          <w:rFonts w:ascii="Arial" w:hAnsi="Arial" w:cs="Arial"/>
          <w:bCs/>
          <w:sz w:val="22"/>
          <w:szCs w:val="22"/>
        </w:rPr>
        <w:t xml:space="preserve"> leasing industry from unleashing</w:t>
      </w:r>
      <w:r w:rsidR="00911FB1">
        <w:rPr>
          <w:rFonts w:ascii="Arial" w:hAnsi="Arial" w:cs="Arial"/>
          <w:bCs/>
          <w:sz w:val="22"/>
          <w:szCs w:val="22"/>
        </w:rPr>
        <w:t xml:space="preserve"> its </w:t>
      </w:r>
      <w:r w:rsidR="003F4F97">
        <w:rPr>
          <w:rFonts w:ascii="Arial" w:hAnsi="Arial" w:cs="Arial"/>
          <w:bCs/>
          <w:sz w:val="22"/>
          <w:szCs w:val="22"/>
        </w:rPr>
        <w:t xml:space="preserve">full </w:t>
      </w:r>
      <w:r w:rsidR="00911FB1">
        <w:rPr>
          <w:rFonts w:ascii="Arial" w:hAnsi="Arial" w:cs="Arial"/>
          <w:bCs/>
          <w:sz w:val="22"/>
          <w:szCs w:val="22"/>
        </w:rPr>
        <w:t>potential</w:t>
      </w:r>
      <w:r w:rsidR="00A571FB">
        <w:rPr>
          <w:rFonts w:ascii="Arial" w:hAnsi="Arial" w:cs="Arial"/>
          <w:bCs/>
          <w:sz w:val="22"/>
          <w:szCs w:val="22"/>
        </w:rPr>
        <w:t xml:space="preserve"> as a driver of investment. </w:t>
      </w:r>
      <w:r w:rsidR="0015050B" w:rsidRPr="0015050B">
        <w:rPr>
          <w:rFonts w:ascii="Arial" w:hAnsi="Arial" w:cs="Arial"/>
          <w:bCs/>
          <w:sz w:val="22"/>
          <w:szCs w:val="22"/>
        </w:rPr>
        <w:t>“Leasing companies should not be meas</w:t>
      </w:r>
      <w:r w:rsidR="002241A5">
        <w:rPr>
          <w:rFonts w:ascii="Arial" w:hAnsi="Arial" w:cs="Arial"/>
          <w:bCs/>
          <w:sz w:val="22"/>
          <w:szCs w:val="22"/>
        </w:rPr>
        <w:t>ured by</w:t>
      </w:r>
      <w:r w:rsidR="00911FB1">
        <w:rPr>
          <w:rFonts w:ascii="Arial" w:hAnsi="Arial" w:cs="Arial"/>
          <w:bCs/>
          <w:sz w:val="22"/>
          <w:szCs w:val="22"/>
        </w:rPr>
        <w:t xml:space="preserve"> the</w:t>
      </w:r>
      <w:r w:rsidR="0015050B">
        <w:rPr>
          <w:rFonts w:ascii="Arial" w:hAnsi="Arial" w:cs="Arial"/>
          <w:bCs/>
          <w:sz w:val="22"/>
          <w:szCs w:val="22"/>
        </w:rPr>
        <w:t xml:space="preserve"> same yardstick as banks. They are less complex and are ex</w:t>
      </w:r>
      <w:r w:rsidR="00156DFD">
        <w:rPr>
          <w:rFonts w:ascii="Arial" w:hAnsi="Arial" w:cs="Arial"/>
          <w:bCs/>
          <w:sz w:val="22"/>
          <w:szCs w:val="22"/>
        </w:rPr>
        <w:t>posed to</w:t>
      </w:r>
      <w:r w:rsidR="0015050B">
        <w:rPr>
          <w:rFonts w:ascii="Arial" w:hAnsi="Arial" w:cs="Arial"/>
          <w:bCs/>
          <w:sz w:val="22"/>
          <w:szCs w:val="22"/>
        </w:rPr>
        <w:t xml:space="preserve"> much lower level</w:t>
      </w:r>
      <w:r w:rsidR="00911FB1">
        <w:rPr>
          <w:rFonts w:ascii="Arial" w:hAnsi="Arial" w:cs="Arial"/>
          <w:bCs/>
          <w:sz w:val="22"/>
          <w:szCs w:val="22"/>
        </w:rPr>
        <w:t>s</w:t>
      </w:r>
      <w:r w:rsidR="0015050B">
        <w:rPr>
          <w:rFonts w:ascii="Arial" w:hAnsi="Arial" w:cs="Arial"/>
          <w:bCs/>
          <w:sz w:val="22"/>
          <w:szCs w:val="22"/>
        </w:rPr>
        <w:t xml:space="preserve"> of risk. </w:t>
      </w:r>
      <w:r w:rsidR="0015050B" w:rsidRPr="00D90D3A">
        <w:rPr>
          <w:rFonts w:ascii="Arial" w:hAnsi="Arial" w:cs="Arial"/>
          <w:bCs/>
          <w:sz w:val="22"/>
          <w:szCs w:val="22"/>
        </w:rPr>
        <w:t xml:space="preserve">The concept of supervision </w:t>
      </w:r>
      <w:r w:rsidR="00D90D3A" w:rsidRPr="00D90D3A">
        <w:rPr>
          <w:rFonts w:ascii="Arial" w:hAnsi="Arial" w:cs="Arial"/>
          <w:bCs/>
          <w:sz w:val="22"/>
          <w:szCs w:val="22"/>
        </w:rPr>
        <w:t xml:space="preserve">enshrined in the </w:t>
      </w:r>
      <w:r w:rsidR="002241A5">
        <w:rPr>
          <w:rFonts w:ascii="Arial" w:hAnsi="Arial" w:cs="Arial"/>
          <w:bCs/>
          <w:sz w:val="22"/>
          <w:szCs w:val="22"/>
        </w:rPr>
        <w:t>current regulatory regime</w:t>
      </w:r>
      <w:r w:rsidR="00D90D3A">
        <w:rPr>
          <w:rFonts w:ascii="Arial" w:hAnsi="Arial" w:cs="Arial"/>
          <w:bCs/>
          <w:sz w:val="22"/>
          <w:szCs w:val="22"/>
        </w:rPr>
        <w:t xml:space="preserve"> fails to take account of this,” reflected the BDI President. </w:t>
      </w:r>
      <w:r w:rsidR="00D90D3A" w:rsidRPr="00D90D3A">
        <w:rPr>
          <w:rFonts w:ascii="Arial" w:hAnsi="Arial" w:cs="Arial"/>
          <w:bCs/>
          <w:sz w:val="22"/>
          <w:szCs w:val="22"/>
        </w:rPr>
        <w:t>All the main regulatory initiatives are designed primarily with the a</w:t>
      </w:r>
      <w:r w:rsidR="00D90D3A">
        <w:rPr>
          <w:rFonts w:ascii="Arial" w:hAnsi="Arial" w:cs="Arial"/>
          <w:bCs/>
          <w:sz w:val="22"/>
          <w:szCs w:val="22"/>
        </w:rPr>
        <w:t>ctivities of the major intern</w:t>
      </w:r>
      <w:r w:rsidR="002E2B8D">
        <w:rPr>
          <w:rFonts w:ascii="Arial" w:hAnsi="Arial" w:cs="Arial"/>
          <w:bCs/>
          <w:sz w:val="22"/>
          <w:szCs w:val="22"/>
        </w:rPr>
        <w:t xml:space="preserve">ationally active banks in mind. But these supervisory standards </w:t>
      </w:r>
      <w:r w:rsidR="0005176F">
        <w:rPr>
          <w:rFonts w:ascii="Arial" w:hAnsi="Arial" w:cs="Arial"/>
          <w:bCs/>
          <w:sz w:val="22"/>
          <w:szCs w:val="22"/>
        </w:rPr>
        <w:t xml:space="preserve">are then </w:t>
      </w:r>
      <w:r w:rsidR="00156DFD">
        <w:rPr>
          <w:rFonts w:ascii="Arial" w:hAnsi="Arial" w:cs="Arial"/>
          <w:bCs/>
          <w:sz w:val="22"/>
          <w:szCs w:val="22"/>
        </w:rPr>
        <w:t xml:space="preserve">also </w:t>
      </w:r>
      <w:r w:rsidR="0005176F">
        <w:rPr>
          <w:rFonts w:ascii="Arial" w:hAnsi="Arial" w:cs="Arial"/>
          <w:bCs/>
          <w:sz w:val="22"/>
          <w:szCs w:val="22"/>
        </w:rPr>
        <w:t xml:space="preserve">applied </w:t>
      </w:r>
      <w:r w:rsidR="00156DFD">
        <w:rPr>
          <w:rFonts w:ascii="Arial" w:hAnsi="Arial" w:cs="Arial"/>
          <w:bCs/>
          <w:sz w:val="22"/>
          <w:szCs w:val="22"/>
        </w:rPr>
        <w:t xml:space="preserve">willy-nilly </w:t>
      </w:r>
      <w:r w:rsidR="0005176F">
        <w:rPr>
          <w:rFonts w:ascii="Arial" w:hAnsi="Arial" w:cs="Arial"/>
          <w:bCs/>
          <w:sz w:val="22"/>
          <w:szCs w:val="22"/>
        </w:rPr>
        <w:t>to the medium-sized players active in the leasing in</w:t>
      </w:r>
      <w:r w:rsidR="003F4F97">
        <w:rPr>
          <w:rFonts w:ascii="Arial" w:hAnsi="Arial" w:cs="Arial"/>
          <w:bCs/>
          <w:sz w:val="22"/>
          <w:szCs w:val="22"/>
        </w:rPr>
        <w:t>dustry. “</w:t>
      </w:r>
      <w:r w:rsidR="0005176F">
        <w:rPr>
          <w:rFonts w:ascii="Arial" w:hAnsi="Arial" w:cs="Arial"/>
          <w:bCs/>
          <w:sz w:val="22"/>
          <w:szCs w:val="22"/>
        </w:rPr>
        <w:t>We need proportionality and a greater degree of differentiation. Ideally, there should be a regulatory framework specifically for the leasing industry.</w:t>
      </w:r>
      <w:r w:rsidR="00911FB1">
        <w:rPr>
          <w:rFonts w:ascii="Arial" w:hAnsi="Arial" w:cs="Arial"/>
          <w:bCs/>
          <w:sz w:val="22"/>
          <w:szCs w:val="22"/>
        </w:rPr>
        <w:t>”</w:t>
      </w:r>
    </w:p>
    <w:p w14:paraId="3CF3A33F" w14:textId="77777777" w:rsidR="00AD650E" w:rsidRPr="0005176F" w:rsidRDefault="00AD650E" w:rsidP="00475E91">
      <w:pPr>
        <w:widowControl w:val="0"/>
        <w:autoSpaceDE w:val="0"/>
        <w:autoSpaceDN w:val="0"/>
        <w:adjustRightInd w:val="0"/>
        <w:spacing w:after="120"/>
        <w:ind w:right="-23"/>
        <w:rPr>
          <w:rFonts w:ascii="Arial" w:hAnsi="Arial" w:cs="Arial"/>
          <w:bCs/>
          <w:sz w:val="22"/>
          <w:szCs w:val="22"/>
        </w:rPr>
      </w:pPr>
    </w:p>
    <w:p w14:paraId="1BBCD6CB" w14:textId="77777777" w:rsidR="008B13A2" w:rsidRPr="0005176F" w:rsidRDefault="00250893" w:rsidP="00475E91">
      <w:pPr>
        <w:widowControl w:val="0"/>
        <w:autoSpaceDE w:val="0"/>
        <w:autoSpaceDN w:val="0"/>
        <w:adjustRightInd w:val="0"/>
        <w:spacing w:after="120"/>
        <w:ind w:right="-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How the leasing-object categories performed</w:t>
      </w:r>
    </w:p>
    <w:p w14:paraId="3688D9A0" w14:textId="77777777" w:rsidR="0022224F" w:rsidRPr="004A405C" w:rsidRDefault="001A5D19" w:rsidP="00475E91">
      <w:pPr>
        <w:widowControl w:val="0"/>
        <w:autoSpaceDE w:val="0"/>
        <w:autoSpaceDN w:val="0"/>
        <w:adjustRightInd w:val="0"/>
        <w:spacing w:before="120" w:after="120"/>
        <w:ind w:right="-23"/>
        <w:rPr>
          <w:rFonts w:ascii="Arial" w:hAnsi="Arial" w:cs="Arial"/>
          <w:bCs/>
          <w:sz w:val="22"/>
          <w:szCs w:val="22"/>
        </w:rPr>
      </w:pPr>
      <w:r w:rsidRPr="00C752DD">
        <w:rPr>
          <w:rFonts w:ascii="Arial" w:hAnsi="Arial" w:cs="Arial"/>
          <w:bCs/>
          <w:sz w:val="22"/>
          <w:szCs w:val="22"/>
        </w:rPr>
        <w:t>I</w:t>
      </w:r>
      <w:r w:rsidR="00250893" w:rsidRPr="00C752DD">
        <w:rPr>
          <w:rFonts w:ascii="Arial" w:hAnsi="Arial" w:cs="Arial"/>
          <w:bCs/>
          <w:sz w:val="22"/>
          <w:szCs w:val="22"/>
        </w:rPr>
        <w:t xml:space="preserve">n 2021 </w:t>
      </w:r>
      <w:r w:rsidR="00C752DD" w:rsidRPr="00C752DD">
        <w:rPr>
          <w:rFonts w:ascii="Arial" w:hAnsi="Arial" w:cs="Arial"/>
          <w:bCs/>
          <w:sz w:val="22"/>
          <w:szCs w:val="22"/>
        </w:rPr>
        <w:t xml:space="preserve">demand for the various </w:t>
      </w:r>
      <w:r w:rsidR="008C59F7">
        <w:rPr>
          <w:rFonts w:ascii="Arial" w:hAnsi="Arial" w:cs="Arial"/>
          <w:bCs/>
          <w:sz w:val="22"/>
          <w:szCs w:val="22"/>
        </w:rPr>
        <w:t>types</w:t>
      </w:r>
      <w:r w:rsidR="00360EAC">
        <w:rPr>
          <w:rFonts w:ascii="Arial" w:hAnsi="Arial" w:cs="Arial"/>
          <w:bCs/>
          <w:sz w:val="22"/>
          <w:szCs w:val="22"/>
        </w:rPr>
        <w:t xml:space="preserve"> of lea</w:t>
      </w:r>
      <w:r w:rsidR="00D465D3">
        <w:rPr>
          <w:rFonts w:ascii="Arial" w:hAnsi="Arial" w:cs="Arial"/>
          <w:bCs/>
          <w:sz w:val="22"/>
          <w:szCs w:val="22"/>
        </w:rPr>
        <w:t>sable</w:t>
      </w:r>
      <w:r w:rsidR="00C752DD">
        <w:rPr>
          <w:rFonts w:ascii="Arial" w:hAnsi="Arial" w:cs="Arial"/>
          <w:bCs/>
          <w:sz w:val="22"/>
          <w:szCs w:val="22"/>
        </w:rPr>
        <w:t xml:space="preserve"> assets varied. </w:t>
      </w:r>
      <w:r w:rsidR="00C752DD" w:rsidRPr="00C752DD">
        <w:rPr>
          <w:rFonts w:ascii="Arial" w:hAnsi="Arial" w:cs="Arial"/>
          <w:bCs/>
          <w:sz w:val="22"/>
          <w:szCs w:val="22"/>
        </w:rPr>
        <w:t xml:space="preserve">Virtually every leasing segment was affected </w:t>
      </w:r>
      <w:r w:rsidR="00C752DD">
        <w:rPr>
          <w:rFonts w:ascii="Arial" w:hAnsi="Arial" w:cs="Arial"/>
          <w:bCs/>
          <w:sz w:val="22"/>
          <w:szCs w:val="22"/>
        </w:rPr>
        <w:t>by supply-chain disruptions.</w:t>
      </w:r>
      <w:r w:rsidR="007A7BA0">
        <w:rPr>
          <w:rFonts w:ascii="Arial" w:hAnsi="Arial" w:cs="Arial"/>
          <w:bCs/>
          <w:sz w:val="22"/>
          <w:szCs w:val="22"/>
        </w:rPr>
        <w:t xml:space="preserve">  </w:t>
      </w:r>
      <w:r w:rsidR="008C59F7" w:rsidRPr="008C59F7">
        <w:rPr>
          <w:rFonts w:ascii="Arial" w:hAnsi="Arial" w:cs="Arial"/>
          <w:b/>
          <w:sz w:val="22"/>
          <w:szCs w:val="22"/>
        </w:rPr>
        <w:t xml:space="preserve">Vehicle </w:t>
      </w:r>
      <w:r w:rsidR="00B32644">
        <w:rPr>
          <w:rFonts w:ascii="Arial" w:hAnsi="Arial" w:cs="Arial"/>
          <w:b/>
          <w:sz w:val="22"/>
          <w:szCs w:val="22"/>
        </w:rPr>
        <w:t>L</w:t>
      </w:r>
      <w:r w:rsidR="00EA36CB" w:rsidRPr="008C59F7">
        <w:rPr>
          <w:rFonts w:ascii="Arial" w:hAnsi="Arial" w:cs="Arial"/>
          <w:b/>
          <w:sz w:val="22"/>
          <w:szCs w:val="22"/>
        </w:rPr>
        <w:t>easing</w:t>
      </w:r>
      <w:r w:rsidR="008C59F7" w:rsidRPr="008C59F7">
        <w:rPr>
          <w:rFonts w:ascii="Arial" w:hAnsi="Arial" w:cs="Arial"/>
          <w:bCs/>
          <w:sz w:val="22"/>
          <w:szCs w:val="22"/>
        </w:rPr>
        <w:t>, i.e. the leasing of passenger cars and commercial vehi</w:t>
      </w:r>
      <w:r w:rsidR="00156DFD">
        <w:rPr>
          <w:rFonts w:ascii="Arial" w:hAnsi="Arial" w:cs="Arial"/>
          <w:bCs/>
          <w:sz w:val="22"/>
          <w:szCs w:val="22"/>
        </w:rPr>
        <w:t xml:space="preserve">cles, </w:t>
      </w:r>
      <w:r w:rsidR="007A7BA0">
        <w:rPr>
          <w:rFonts w:ascii="Arial" w:hAnsi="Arial" w:cs="Arial"/>
          <w:bCs/>
          <w:sz w:val="22"/>
          <w:szCs w:val="22"/>
        </w:rPr>
        <w:t xml:space="preserve">usually </w:t>
      </w:r>
      <w:r w:rsidR="008C59F7" w:rsidRPr="008C59F7">
        <w:rPr>
          <w:rFonts w:ascii="Arial" w:hAnsi="Arial" w:cs="Arial"/>
          <w:bCs/>
          <w:sz w:val="22"/>
          <w:szCs w:val="22"/>
        </w:rPr>
        <w:t>accounts for</w:t>
      </w:r>
      <w:r w:rsidR="00B32644">
        <w:rPr>
          <w:rFonts w:ascii="Arial" w:hAnsi="Arial" w:cs="Arial"/>
          <w:bCs/>
          <w:sz w:val="22"/>
          <w:szCs w:val="22"/>
        </w:rPr>
        <w:t xml:space="preserve"> most of the value</w:t>
      </w:r>
      <w:r w:rsidR="008C59F7" w:rsidRPr="008C59F7">
        <w:rPr>
          <w:rFonts w:ascii="Arial" w:hAnsi="Arial" w:cs="Arial"/>
          <w:bCs/>
          <w:sz w:val="22"/>
          <w:szCs w:val="22"/>
        </w:rPr>
        <w:t xml:space="preserve"> of the leasing market</w:t>
      </w:r>
      <w:r w:rsidR="007A7BA0">
        <w:rPr>
          <w:rFonts w:ascii="Arial" w:hAnsi="Arial" w:cs="Arial"/>
          <w:bCs/>
          <w:sz w:val="22"/>
          <w:szCs w:val="22"/>
        </w:rPr>
        <w:t>, and this was the case in 2021 (72 percent)</w:t>
      </w:r>
      <w:r w:rsidR="008C59F7">
        <w:rPr>
          <w:rFonts w:ascii="Arial" w:hAnsi="Arial" w:cs="Arial"/>
          <w:bCs/>
          <w:sz w:val="22"/>
          <w:szCs w:val="22"/>
        </w:rPr>
        <w:t xml:space="preserve">. </w:t>
      </w:r>
      <w:r w:rsidR="008C59F7" w:rsidRPr="004A405C">
        <w:rPr>
          <w:rFonts w:ascii="Arial" w:hAnsi="Arial" w:cs="Arial"/>
          <w:bCs/>
          <w:sz w:val="22"/>
          <w:szCs w:val="22"/>
        </w:rPr>
        <w:t xml:space="preserve">While </w:t>
      </w:r>
      <w:r w:rsidR="004A405C" w:rsidRPr="004A405C">
        <w:rPr>
          <w:rFonts w:ascii="Arial" w:hAnsi="Arial" w:cs="Arial"/>
          <w:bCs/>
          <w:sz w:val="22"/>
          <w:szCs w:val="22"/>
        </w:rPr>
        <w:t xml:space="preserve">new car-leasing business </w:t>
      </w:r>
      <w:r w:rsidR="00B32644">
        <w:rPr>
          <w:rFonts w:ascii="Arial" w:hAnsi="Arial" w:cs="Arial"/>
          <w:bCs/>
          <w:sz w:val="22"/>
          <w:szCs w:val="22"/>
        </w:rPr>
        <w:t xml:space="preserve">was affected by supply bottlenecks and </w:t>
      </w:r>
      <w:r w:rsidR="004A405C" w:rsidRPr="004A405C">
        <w:rPr>
          <w:rFonts w:ascii="Arial" w:hAnsi="Arial" w:cs="Arial"/>
          <w:bCs/>
          <w:sz w:val="22"/>
          <w:szCs w:val="22"/>
        </w:rPr>
        <w:t>incre</w:t>
      </w:r>
      <w:r w:rsidR="00032C22">
        <w:rPr>
          <w:rFonts w:ascii="Arial" w:hAnsi="Arial" w:cs="Arial"/>
          <w:bCs/>
          <w:sz w:val="22"/>
          <w:szCs w:val="22"/>
        </w:rPr>
        <w:t>a</w:t>
      </w:r>
      <w:r w:rsidR="00B32644">
        <w:rPr>
          <w:rFonts w:ascii="Arial" w:hAnsi="Arial" w:cs="Arial"/>
          <w:bCs/>
          <w:sz w:val="22"/>
          <w:szCs w:val="22"/>
        </w:rPr>
        <w:t>sed by just 2</w:t>
      </w:r>
      <w:r w:rsidR="004A405C" w:rsidRPr="004A405C">
        <w:rPr>
          <w:rFonts w:ascii="Arial" w:hAnsi="Arial" w:cs="Arial"/>
          <w:bCs/>
          <w:sz w:val="22"/>
          <w:szCs w:val="22"/>
        </w:rPr>
        <w:t xml:space="preserve"> percen</w:t>
      </w:r>
      <w:r w:rsidR="00B32644">
        <w:rPr>
          <w:rFonts w:ascii="Arial" w:hAnsi="Arial" w:cs="Arial"/>
          <w:bCs/>
          <w:sz w:val="22"/>
          <w:szCs w:val="22"/>
        </w:rPr>
        <w:t>t</w:t>
      </w:r>
      <w:r w:rsidR="004A405C">
        <w:rPr>
          <w:rFonts w:ascii="Arial" w:hAnsi="Arial" w:cs="Arial"/>
          <w:bCs/>
          <w:sz w:val="22"/>
          <w:szCs w:val="22"/>
        </w:rPr>
        <w:t xml:space="preserve">, new commercial-vehicle leasing business was up by 9 percent. </w:t>
      </w:r>
      <w:r w:rsidR="004A405C" w:rsidRPr="004A405C">
        <w:rPr>
          <w:rFonts w:ascii="Arial" w:hAnsi="Arial" w:cs="Arial"/>
          <w:bCs/>
          <w:sz w:val="22"/>
          <w:szCs w:val="22"/>
        </w:rPr>
        <w:t>This was because more vehicles were available for leasing</w:t>
      </w:r>
      <w:r w:rsidR="00B32644">
        <w:rPr>
          <w:rFonts w:ascii="Arial" w:hAnsi="Arial" w:cs="Arial"/>
          <w:bCs/>
          <w:sz w:val="22"/>
          <w:szCs w:val="22"/>
        </w:rPr>
        <w:t>,</w:t>
      </w:r>
      <w:r w:rsidR="004A405C" w:rsidRPr="004A405C">
        <w:rPr>
          <w:rFonts w:ascii="Arial" w:hAnsi="Arial" w:cs="Arial"/>
          <w:bCs/>
          <w:sz w:val="22"/>
          <w:szCs w:val="22"/>
        </w:rPr>
        <w:t xml:space="preserve"> a</w:t>
      </w:r>
      <w:r w:rsidR="004A405C">
        <w:rPr>
          <w:rFonts w:ascii="Arial" w:hAnsi="Arial" w:cs="Arial"/>
          <w:bCs/>
          <w:sz w:val="22"/>
          <w:szCs w:val="22"/>
        </w:rPr>
        <w:t>nd demand in the booming transport sector was high.</w:t>
      </w:r>
    </w:p>
    <w:p w14:paraId="3B11AB96" w14:textId="77777777" w:rsidR="00E25D05" w:rsidRPr="00967449" w:rsidRDefault="007A7BA0" w:rsidP="00475E91">
      <w:pPr>
        <w:spacing w:after="120"/>
        <w:ind w:right="-2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2021</w:t>
      </w:r>
      <w:r w:rsidR="0022224F" w:rsidRPr="004A405C">
        <w:rPr>
          <w:rFonts w:ascii="Arial" w:hAnsi="Arial" w:cs="Arial"/>
          <w:bCs/>
          <w:sz w:val="22"/>
          <w:szCs w:val="22"/>
        </w:rPr>
        <w:t xml:space="preserve"> </w:t>
      </w:r>
      <w:r w:rsidR="004A405C" w:rsidRPr="004A405C">
        <w:rPr>
          <w:rFonts w:ascii="Arial" w:hAnsi="Arial" w:cs="Arial"/>
          <w:bCs/>
          <w:sz w:val="22"/>
          <w:szCs w:val="22"/>
        </w:rPr>
        <w:t xml:space="preserve">there was an overall </w:t>
      </w:r>
      <w:r w:rsidR="00B32644">
        <w:rPr>
          <w:rFonts w:ascii="Arial" w:hAnsi="Arial" w:cs="Arial"/>
          <w:bCs/>
          <w:sz w:val="22"/>
          <w:szCs w:val="22"/>
        </w:rPr>
        <w:t xml:space="preserve">year-on-year </w:t>
      </w:r>
      <w:r w:rsidR="004A405C" w:rsidRPr="004A405C">
        <w:rPr>
          <w:rFonts w:ascii="Arial" w:hAnsi="Arial" w:cs="Arial"/>
          <w:bCs/>
          <w:sz w:val="22"/>
          <w:szCs w:val="22"/>
        </w:rPr>
        <w:t>decrease of 10 percent in the</w:t>
      </w:r>
      <w:r w:rsidR="004A405C">
        <w:rPr>
          <w:rFonts w:ascii="Arial" w:hAnsi="Arial" w:cs="Arial"/>
          <w:bCs/>
          <w:sz w:val="22"/>
          <w:szCs w:val="22"/>
        </w:rPr>
        <w:t xml:space="preserve"> number of new car </w:t>
      </w:r>
      <w:r w:rsidR="00B32644">
        <w:rPr>
          <w:rFonts w:ascii="Arial" w:hAnsi="Arial" w:cs="Arial"/>
          <w:bCs/>
          <w:sz w:val="22"/>
          <w:szCs w:val="22"/>
        </w:rPr>
        <w:t>registrations</w:t>
      </w:r>
      <w:r w:rsidR="004A405C">
        <w:rPr>
          <w:rFonts w:ascii="Arial" w:hAnsi="Arial" w:cs="Arial"/>
          <w:bCs/>
          <w:sz w:val="22"/>
          <w:szCs w:val="22"/>
        </w:rPr>
        <w:t xml:space="preserve">. </w:t>
      </w:r>
      <w:r w:rsidR="004A405C" w:rsidRPr="004A405C">
        <w:rPr>
          <w:rFonts w:ascii="Arial" w:hAnsi="Arial" w:cs="Arial"/>
          <w:bCs/>
          <w:sz w:val="22"/>
          <w:szCs w:val="22"/>
        </w:rPr>
        <w:t xml:space="preserve">However, leasing </w:t>
      </w:r>
      <w:r>
        <w:rPr>
          <w:rFonts w:ascii="Arial" w:hAnsi="Arial" w:cs="Arial"/>
          <w:bCs/>
          <w:sz w:val="22"/>
          <w:szCs w:val="22"/>
        </w:rPr>
        <w:t xml:space="preserve">last year </w:t>
      </w:r>
      <w:r w:rsidR="004A405C" w:rsidRPr="004A405C">
        <w:rPr>
          <w:rFonts w:ascii="Arial" w:hAnsi="Arial" w:cs="Arial"/>
          <w:bCs/>
          <w:sz w:val="22"/>
          <w:szCs w:val="22"/>
        </w:rPr>
        <w:t>accounted for a higher proportion of new ca</w:t>
      </w:r>
      <w:r>
        <w:rPr>
          <w:rFonts w:ascii="Arial" w:hAnsi="Arial" w:cs="Arial"/>
          <w:bCs/>
          <w:sz w:val="22"/>
          <w:szCs w:val="22"/>
        </w:rPr>
        <w:t xml:space="preserve">r registrations </w:t>
      </w:r>
      <w:r w:rsidR="004A405C">
        <w:rPr>
          <w:rFonts w:ascii="Arial" w:hAnsi="Arial" w:cs="Arial"/>
          <w:bCs/>
          <w:sz w:val="22"/>
          <w:szCs w:val="22"/>
        </w:rPr>
        <w:t xml:space="preserve">(40.9 percent) than </w:t>
      </w:r>
      <w:r w:rsidR="00967449">
        <w:rPr>
          <w:rFonts w:ascii="Arial" w:hAnsi="Arial" w:cs="Arial"/>
          <w:bCs/>
          <w:sz w:val="22"/>
          <w:szCs w:val="22"/>
        </w:rPr>
        <w:t xml:space="preserve">in the preceding year (37.6 percent). </w:t>
      </w:r>
      <w:r w:rsidR="00967449" w:rsidRPr="00967449">
        <w:rPr>
          <w:rFonts w:ascii="Arial" w:hAnsi="Arial" w:cs="Arial"/>
          <w:bCs/>
          <w:sz w:val="22"/>
          <w:szCs w:val="22"/>
        </w:rPr>
        <w:t>Two out of every five vehicles newly registered in Germany</w:t>
      </w:r>
      <w:r w:rsidR="0022224F" w:rsidRPr="00967449">
        <w:rPr>
          <w:rFonts w:ascii="Arial" w:hAnsi="Arial" w:cs="Arial"/>
          <w:bCs/>
          <w:sz w:val="22"/>
          <w:szCs w:val="22"/>
        </w:rPr>
        <w:t xml:space="preserve"> </w:t>
      </w:r>
      <w:r w:rsidR="00967449" w:rsidRPr="00967449">
        <w:rPr>
          <w:rFonts w:ascii="Arial" w:hAnsi="Arial" w:cs="Arial"/>
          <w:bCs/>
          <w:sz w:val="22"/>
          <w:szCs w:val="22"/>
        </w:rPr>
        <w:t>are</w:t>
      </w:r>
      <w:r w:rsidR="00967449">
        <w:rPr>
          <w:rFonts w:ascii="Arial" w:hAnsi="Arial" w:cs="Arial"/>
          <w:bCs/>
          <w:sz w:val="22"/>
          <w:szCs w:val="22"/>
        </w:rPr>
        <w:t xml:space="preserve"> leased,” commente</w:t>
      </w:r>
      <w:r w:rsidR="00B32644">
        <w:rPr>
          <w:rFonts w:ascii="Arial" w:hAnsi="Arial" w:cs="Arial"/>
          <w:bCs/>
          <w:sz w:val="22"/>
          <w:szCs w:val="22"/>
        </w:rPr>
        <w:t>d Ostermann. “</w:t>
      </w:r>
      <w:r w:rsidR="0015739C">
        <w:rPr>
          <w:rFonts w:ascii="Arial" w:hAnsi="Arial" w:cs="Arial"/>
          <w:bCs/>
          <w:sz w:val="22"/>
          <w:szCs w:val="22"/>
        </w:rPr>
        <w:t>The ratio for company vehicles taken on</w:t>
      </w:r>
      <w:r w:rsidR="00C93DC3">
        <w:rPr>
          <w:rFonts w:ascii="Arial" w:hAnsi="Arial" w:cs="Arial"/>
          <w:bCs/>
          <w:sz w:val="22"/>
          <w:szCs w:val="22"/>
        </w:rPr>
        <w:t xml:space="preserve"> their own is most likely even</w:t>
      </w:r>
      <w:r w:rsidR="0015739C">
        <w:rPr>
          <w:rFonts w:ascii="Arial" w:hAnsi="Arial" w:cs="Arial"/>
          <w:bCs/>
          <w:sz w:val="22"/>
          <w:szCs w:val="22"/>
        </w:rPr>
        <w:t xml:space="preserve"> hig</w:t>
      </w:r>
      <w:r w:rsidR="00967449">
        <w:rPr>
          <w:rFonts w:ascii="Arial" w:hAnsi="Arial" w:cs="Arial"/>
          <w:bCs/>
          <w:sz w:val="22"/>
          <w:szCs w:val="22"/>
        </w:rPr>
        <w:t>her</w:t>
      </w:r>
      <w:r w:rsidR="00C93DC3">
        <w:rPr>
          <w:rFonts w:ascii="Arial" w:hAnsi="Arial" w:cs="Arial"/>
          <w:bCs/>
          <w:sz w:val="22"/>
          <w:szCs w:val="22"/>
        </w:rPr>
        <w:t xml:space="preserve"> still</w:t>
      </w:r>
      <w:r w:rsidR="0022224F" w:rsidRPr="00967449">
        <w:rPr>
          <w:rFonts w:ascii="Arial" w:hAnsi="Arial" w:cs="Arial"/>
          <w:bCs/>
          <w:sz w:val="22"/>
          <w:szCs w:val="22"/>
        </w:rPr>
        <w:t>.</w:t>
      </w:r>
      <w:r w:rsidR="00967449">
        <w:rPr>
          <w:rFonts w:ascii="Arial" w:hAnsi="Arial" w:cs="Arial"/>
          <w:bCs/>
          <w:sz w:val="22"/>
          <w:szCs w:val="22"/>
        </w:rPr>
        <w:t>”</w:t>
      </w:r>
      <w:r w:rsidR="0022224F" w:rsidRPr="00967449">
        <w:rPr>
          <w:rFonts w:ascii="Arial" w:hAnsi="Arial" w:cs="Arial"/>
          <w:bCs/>
          <w:sz w:val="22"/>
          <w:szCs w:val="22"/>
        </w:rPr>
        <w:t xml:space="preserve"> </w:t>
      </w:r>
    </w:p>
    <w:p w14:paraId="2FF078E1" w14:textId="77777777" w:rsidR="00C20EA1" w:rsidRPr="00F1763A" w:rsidRDefault="00D465D3" w:rsidP="00475E91">
      <w:pPr>
        <w:widowControl w:val="0"/>
        <w:autoSpaceDE w:val="0"/>
        <w:autoSpaceDN w:val="0"/>
        <w:adjustRightInd w:val="0"/>
        <w:spacing w:before="120" w:after="120"/>
        <w:ind w:right="-23"/>
        <w:rPr>
          <w:rFonts w:ascii="Arial" w:hAnsi="Arial" w:cs="Arial"/>
          <w:bCs/>
          <w:sz w:val="22"/>
          <w:szCs w:val="22"/>
        </w:rPr>
      </w:pPr>
      <w:r w:rsidRPr="00D465D3">
        <w:rPr>
          <w:rFonts w:ascii="Arial" w:hAnsi="Arial" w:cs="Arial"/>
          <w:b/>
          <w:sz w:val="22"/>
          <w:szCs w:val="22"/>
        </w:rPr>
        <w:t>Ma</w:t>
      </w:r>
      <w:r w:rsidR="00493A52" w:rsidRPr="00D465D3">
        <w:rPr>
          <w:rFonts w:ascii="Arial" w:hAnsi="Arial" w:cs="Arial"/>
          <w:b/>
          <w:sz w:val="22"/>
          <w:szCs w:val="22"/>
        </w:rPr>
        <w:t>chine</w:t>
      </w:r>
      <w:r w:rsidRPr="00D465D3">
        <w:rPr>
          <w:rFonts w:ascii="Arial" w:hAnsi="Arial" w:cs="Arial"/>
          <w:b/>
          <w:sz w:val="22"/>
          <w:szCs w:val="22"/>
        </w:rPr>
        <w:t>ry</w:t>
      </w:r>
      <w:r w:rsidR="00493A52" w:rsidRPr="00D465D3">
        <w:rPr>
          <w:rFonts w:ascii="Arial" w:hAnsi="Arial" w:cs="Arial"/>
          <w:bCs/>
          <w:sz w:val="22"/>
          <w:szCs w:val="22"/>
        </w:rPr>
        <w:t xml:space="preserve">, </w:t>
      </w:r>
      <w:r w:rsidR="00C62659">
        <w:rPr>
          <w:rFonts w:ascii="Arial" w:hAnsi="Arial" w:cs="Arial"/>
          <w:bCs/>
          <w:sz w:val="22"/>
          <w:szCs w:val="22"/>
        </w:rPr>
        <w:t>the second largest</w:t>
      </w:r>
      <w:r>
        <w:rPr>
          <w:rFonts w:ascii="Arial" w:hAnsi="Arial" w:cs="Arial"/>
          <w:bCs/>
          <w:sz w:val="22"/>
          <w:szCs w:val="22"/>
        </w:rPr>
        <w:t xml:space="preserve"> leasing segment</w:t>
      </w:r>
      <w:r w:rsidR="00493A52" w:rsidRPr="00D465D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1763A">
        <w:rPr>
          <w:rFonts w:ascii="Arial" w:hAnsi="Arial" w:cs="Arial"/>
          <w:bCs/>
          <w:sz w:val="22"/>
          <w:szCs w:val="22"/>
        </w:rPr>
        <w:t xml:space="preserve">recorded </w:t>
      </w:r>
      <w:r w:rsidR="00FE36CB">
        <w:rPr>
          <w:rFonts w:ascii="Arial" w:hAnsi="Arial" w:cs="Arial"/>
          <w:bCs/>
          <w:sz w:val="22"/>
          <w:szCs w:val="22"/>
        </w:rPr>
        <w:t>an increase in new business of 3 percent.</w:t>
      </w:r>
      <w:r w:rsidR="00F1763A">
        <w:rPr>
          <w:rFonts w:ascii="Arial" w:hAnsi="Arial" w:cs="Arial"/>
          <w:bCs/>
          <w:sz w:val="22"/>
          <w:szCs w:val="22"/>
        </w:rPr>
        <w:t xml:space="preserve"> </w:t>
      </w:r>
      <w:r w:rsidR="00F1763A" w:rsidRPr="00F1763A">
        <w:rPr>
          <w:rFonts w:ascii="Arial" w:hAnsi="Arial" w:cs="Arial"/>
          <w:bCs/>
          <w:sz w:val="22"/>
          <w:szCs w:val="22"/>
        </w:rPr>
        <w:t>“Here</w:t>
      </w:r>
      <w:r w:rsidR="00F1763A">
        <w:rPr>
          <w:rFonts w:ascii="Arial" w:hAnsi="Arial" w:cs="Arial"/>
          <w:bCs/>
          <w:sz w:val="22"/>
          <w:szCs w:val="22"/>
        </w:rPr>
        <w:t xml:space="preserve">, </w:t>
      </w:r>
      <w:r w:rsidR="00F1763A" w:rsidRPr="00F1763A">
        <w:rPr>
          <w:rFonts w:ascii="Arial" w:hAnsi="Arial" w:cs="Arial"/>
          <w:bCs/>
          <w:sz w:val="22"/>
          <w:szCs w:val="22"/>
        </w:rPr>
        <w:t xml:space="preserve">we </w:t>
      </w:r>
      <w:r w:rsidR="007A7BA0">
        <w:rPr>
          <w:rFonts w:ascii="Arial" w:hAnsi="Arial" w:cs="Arial"/>
          <w:bCs/>
          <w:sz w:val="22"/>
          <w:szCs w:val="22"/>
        </w:rPr>
        <w:t>may</w:t>
      </w:r>
      <w:r w:rsidR="00F1763A" w:rsidRPr="00F1763A">
        <w:rPr>
          <w:rFonts w:ascii="Arial" w:hAnsi="Arial" w:cs="Arial"/>
          <w:bCs/>
          <w:sz w:val="22"/>
          <w:szCs w:val="22"/>
        </w:rPr>
        <w:t xml:space="preserve"> see</w:t>
      </w:r>
      <w:r w:rsidR="00C62659">
        <w:rPr>
          <w:rFonts w:ascii="Arial" w:hAnsi="Arial" w:cs="Arial"/>
          <w:bCs/>
          <w:sz w:val="22"/>
          <w:szCs w:val="22"/>
        </w:rPr>
        <w:t xml:space="preserve"> some catch-up growth in the current</w:t>
      </w:r>
      <w:r w:rsidR="00F1763A">
        <w:rPr>
          <w:rFonts w:ascii="Arial" w:hAnsi="Arial" w:cs="Arial"/>
          <w:bCs/>
          <w:sz w:val="22"/>
          <w:szCs w:val="22"/>
        </w:rPr>
        <w:t xml:space="preserve"> year. </w:t>
      </w:r>
      <w:r w:rsidR="00F1763A" w:rsidRPr="00F1763A">
        <w:rPr>
          <w:rFonts w:ascii="Arial" w:hAnsi="Arial" w:cs="Arial"/>
          <w:bCs/>
          <w:sz w:val="22"/>
          <w:szCs w:val="22"/>
        </w:rPr>
        <w:t>On the oth</w:t>
      </w:r>
      <w:r w:rsidR="00C62659">
        <w:rPr>
          <w:rFonts w:ascii="Arial" w:hAnsi="Arial" w:cs="Arial"/>
          <w:bCs/>
          <w:sz w:val="22"/>
          <w:szCs w:val="22"/>
        </w:rPr>
        <w:t>er hand,</w:t>
      </w:r>
      <w:r w:rsidR="00F1763A" w:rsidRPr="00F1763A">
        <w:rPr>
          <w:rFonts w:ascii="Arial" w:hAnsi="Arial" w:cs="Arial"/>
          <w:bCs/>
          <w:sz w:val="22"/>
          <w:szCs w:val="22"/>
        </w:rPr>
        <w:t xml:space="preserve"> the sanctions being im</w:t>
      </w:r>
      <w:r w:rsidR="007A7BA0">
        <w:rPr>
          <w:rFonts w:ascii="Arial" w:hAnsi="Arial" w:cs="Arial"/>
          <w:bCs/>
          <w:sz w:val="22"/>
          <w:szCs w:val="22"/>
        </w:rPr>
        <w:t>posed on Russia might</w:t>
      </w:r>
      <w:r w:rsidR="00C62659">
        <w:rPr>
          <w:rFonts w:ascii="Arial" w:hAnsi="Arial" w:cs="Arial"/>
          <w:bCs/>
          <w:sz w:val="22"/>
          <w:szCs w:val="22"/>
        </w:rPr>
        <w:t xml:space="preserve"> make</w:t>
      </w:r>
      <w:r w:rsidR="0018267F">
        <w:rPr>
          <w:rFonts w:ascii="Arial" w:hAnsi="Arial" w:cs="Arial"/>
          <w:bCs/>
          <w:sz w:val="22"/>
          <w:szCs w:val="22"/>
        </w:rPr>
        <w:t xml:space="preserve"> compa</w:t>
      </w:r>
      <w:r w:rsidR="00C62659">
        <w:rPr>
          <w:rFonts w:ascii="Arial" w:hAnsi="Arial" w:cs="Arial"/>
          <w:bCs/>
          <w:sz w:val="22"/>
          <w:szCs w:val="22"/>
        </w:rPr>
        <w:t>nies</w:t>
      </w:r>
      <w:r w:rsidR="0018267F">
        <w:rPr>
          <w:rFonts w:ascii="Arial" w:hAnsi="Arial" w:cs="Arial"/>
          <w:bCs/>
          <w:sz w:val="22"/>
          <w:szCs w:val="22"/>
        </w:rPr>
        <w:t xml:space="preserve"> in Germany and else</w:t>
      </w:r>
      <w:r w:rsidR="00C62659">
        <w:rPr>
          <w:rFonts w:ascii="Arial" w:hAnsi="Arial" w:cs="Arial"/>
          <w:bCs/>
          <w:sz w:val="22"/>
          <w:szCs w:val="22"/>
        </w:rPr>
        <w:t>where put their</w:t>
      </w:r>
      <w:r w:rsidR="0018267F">
        <w:rPr>
          <w:rFonts w:ascii="Arial" w:hAnsi="Arial" w:cs="Arial"/>
          <w:bCs/>
          <w:sz w:val="22"/>
          <w:szCs w:val="22"/>
        </w:rPr>
        <w:t xml:space="preserve"> investment</w:t>
      </w:r>
      <w:r w:rsidR="00C62659">
        <w:rPr>
          <w:rFonts w:ascii="Arial" w:hAnsi="Arial" w:cs="Arial"/>
          <w:bCs/>
          <w:sz w:val="22"/>
          <w:szCs w:val="22"/>
        </w:rPr>
        <w:t xml:space="preserve"> plans on hold, at least in the short term</w:t>
      </w:r>
      <w:r w:rsidR="0018267F">
        <w:rPr>
          <w:rFonts w:ascii="Arial" w:hAnsi="Arial" w:cs="Arial"/>
          <w:bCs/>
          <w:sz w:val="22"/>
          <w:szCs w:val="22"/>
        </w:rPr>
        <w:t>”</w:t>
      </w:r>
      <w:r w:rsidR="00F03CA3" w:rsidRPr="00F1763A">
        <w:rPr>
          <w:rFonts w:ascii="Arial" w:hAnsi="Arial" w:cs="Arial"/>
          <w:bCs/>
          <w:sz w:val="22"/>
          <w:szCs w:val="22"/>
        </w:rPr>
        <w:t xml:space="preserve">, </w:t>
      </w:r>
      <w:r w:rsidR="0018267F">
        <w:rPr>
          <w:rFonts w:ascii="Arial" w:hAnsi="Arial" w:cs="Arial"/>
          <w:bCs/>
          <w:sz w:val="22"/>
          <w:szCs w:val="22"/>
        </w:rPr>
        <w:t>commented the BDL President.</w:t>
      </w:r>
      <w:r w:rsidR="00F03CA3" w:rsidRPr="00F1763A">
        <w:rPr>
          <w:rFonts w:ascii="Arial" w:hAnsi="Arial" w:cs="Arial"/>
          <w:bCs/>
          <w:sz w:val="22"/>
          <w:szCs w:val="22"/>
        </w:rPr>
        <w:t xml:space="preserve">  </w:t>
      </w:r>
    </w:p>
    <w:p w14:paraId="375A0BFB" w14:textId="77777777" w:rsidR="00BD6929" w:rsidRPr="00786E28" w:rsidRDefault="0018267F" w:rsidP="00475E91">
      <w:pPr>
        <w:widowControl w:val="0"/>
        <w:autoSpaceDE w:val="0"/>
        <w:autoSpaceDN w:val="0"/>
        <w:adjustRightInd w:val="0"/>
        <w:spacing w:before="120" w:after="120"/>
        <w:ind w:right="-23"/>
        <w:rPr>
          <w:rFonts w:ascii="Arial" w:hAnsi="Arial" w:cs="Arial"/>
          <w:bCs/>
          <w:sz w:val="22"/>
          <w:szCs w:val="22"/>
        </w:rPr>
      </w:pPr>
      <w:r w:rsidRPr="00786E28">
        <w:rPr>
          <w:rFonts w:ascii="Arial" w:hAnsi="Arial" w:cs="Arial"/>
          <w:bCs/>
          <w:sz w:val="22"/>
          <w:szCs w:val="22"/>
        </w:rPr>
        <w:t xml:space="preserve">There was negative growth (-3 percent) in the </w:t>
      </w:r>
      <w:r w:rsidRPr="00786E28">
        <w:rPr>
          <w:rFonts w:ascii="Arial" w:hAnsi="Arial" w:cs="Arial"/>
          <w:b/>
          <w:bCs/>
          <w:sz w:val="22"/>
          <w:szCs w:val="22"/>
        </w:rPr>
        <w:t>Office Machines</w:t>
      </w:r>
      <w:r w:rsidR="00786E28" w:rsidRPr="00786E28">
        <w:rPr>
          <w:rFonts w:ascii="Arial" w:hAnsi="Arial" w:cs="Arial"/>
          <w:b/>
          <w:bCs/>
          <w:sz w:val="22"/>
          <w:szCs w:val="22"/>
        </w:rPr>
        <w:t>, Computers, Server and IT Equipment</w:t>
      </w:r>
      <w:r w:rsidR="00B3224F" w:rsidRPr="00786E28">
        <w:rPr>
          <w:rFonts w:ascii="Arial" w:hAnsi="Arial" w:cs="Arial"/>
          <w:bCs/>
          <w:sz w:val="22"/>
          <w:szCs w:val="22"/>
        </w:rPr>
        <w:t xml:space="preserve"> </w:t>
      </w:r>
      <w:r w:rsidR="00786E28">
        <w:rPr>
          <w:rFonts w:ascii="Arial" w:hAnsi="Arial" w:cs="Arial"/>
          <w:bCs/>
          <w:sz w:val="22"/>
          <w:szCs w:val="22"/>
        </w:rPr>
        <w:t>segment; it too had to contend with shortage</w:t>
      </w:r>
      <w:r w:rsidR="007A7BA0">
        <w:rPr>
          <w:rFonts w:ascii="Arial" w:hAnsi="Arial" w:cs="Arial"/>
          <w:bCs/>
          <w:sz w:val="22"/>
          <w:szCs w:val="22"/>
        </w:rPr>
        <w:t>s of intermediate products – in p</w:t>
      </w:r>
      <w:r w:rsidR="00786E28">
        <w:rPr>
          <w:rFonts w:ascii="Arial" w:hAnsi="Arial" w:cs="Arial"/>
          <w:bCs/>
          <w:sz w:val="22"/>
          <w:szCs w:val="22"/>
        </w:rPr>
        <w:t>articular computer chips.</w:t>
      </w:r>
    </w:p>
    <w:p w14:paraId="148A7786" w14:textId="77777777" w:rsidR="00F03CA3" w:rsidRPr="004A5381" w:rsidRDefault="004A5381" w:rsidP="00F03CA3">
      <w:pPr>
        <w:widowControl w:val="0"/>
        <w:autoSpaceDE w:val="0"/>
        <w:autoSpaceDN w:val="0"/>
        <w:adjustRightInd w:val="0"/>
        <w:spacing w:before="120" w:after="120"/>
        <w:ind w:right="-23"/>
        <w:rPr>
          <w:rFonts w:ascii="Arial" w:hAnsi="Arial" w:cs="Arial"/>
          <w:bCs/>
          <w:sz w:val="22"/>
          <w:szCs w:val="22"/>
        </w:rPr>
      </w:pPr>
      <w:bookmarkStart w:id="0" w:name="_Hlk96325047"/>
      <w:r w:rsidRPr="004A5381">
        <w:rPr>
          <w:rFonts w:ascii="Arial" w:hAnsi="Arial" w:cs="Arial"/>
          <w:bCs/>
          <w:sz w:val="22"/>
          <w:szCs w:val="22"/>
        </w:rPr>
        <w:t>For the first time, the report on developments in the leasing market was drawn up by the Cologne-ba</w:t>
      </w:r>
      <w:r>
        <w:rPr>
          <w:rFonts w:ascii="Arial" w:hAnsi="Arial" w:cs="Arial"/>
          <w:bCs/>
          <w:sz w:val="22"/>
          <w:szCs w:val="22"/>
        </w:rPr>
        <w:t>sed German Economic Institute</w:t>
      </w:r>
      <w:r w:rsidR="006D4C23">
        <w:rPr>
          <w:rFonts w:ascii="Arial" w:hAnsi="Arial" w:cs="Arial"/>
          <w:bCs/>
          <w:sz w:val="22"/>
          <w:szCs w:val="22"/>
        </w:rPr>
        <w:t xml:space="preserve"> (IW)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4A5381">
        <w:rPr>
          <w:rFonts w:ascii="Arial" w:hAnsi="Arial" w:cs="Arial"/>
          <w:bCs/>
          <w:sz w:val="22"/>
          <w:szCs w:val="22"/>
        </w:rPr>
        <w:t>The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72D7E">
        <w:rPr>
          <w:rFonts w:ascii="Arial" w:hAnsi="Arial" w:cs="Arial"/>
          <w:bCs/>
          <w:sz w:val="22"/>
          <w:szCs w:val="22"/>
        </w:rPr>
        <w:t xml:space="preserve">figures </w:t>
      </w:r>
      <w:r w:rsidR="00ED36C7">
        <w:rPr>
          <w:rFonts w:ascii="Arial" w:hAnsi="Arial" w:cs="Arial"/>
          <w:bCs/>
          <w:sz w:val="22"/>
          <w:szCs w:val="22"/>
        </w:rPr>
        <w:t xml:space="preserve">presented </w:t>
      </w:r>
      <w:r w:rsidR="006D4C23">
        <w:rPr>
          <w:rFonts w:ascii="Arial" w:hAnsi="Arial" w:cs="Arial"/>
          <w:bCs/>
          <w:sz w:val="22"/>
          <w:szCs w:val="22"/>
        </w:rPr>
        <w:t>in the IW forecast are a</w:t>
      </w:r>
      <w:r w:rsidR="00872D7E">
        <w:rPr>
          <w:rFonts w:ascii="Arial" w:hAnsi="Arial" w:cs="Arial"/>
          <w:bCs/>
          <w:sz w:val="22"/>
          <w:szCs w:val="22"/>
        </w:rPr>
        <w:t xml:space="preserve"> projection for the entire leasing sector based on </w:t>
      </w:r>
      <w:r w:rsidR="006D4C23">
        <w:rPr>
          <w:rFonts w:ascii="Arial" w:hAnsi="Arial" w:cs="Arial"/>
          <w:bCs/>
          <w:sz w:val="22"/>
          <w:szCs w:val="22"/>
        </w:rPr>
        <w:t>the findings of a partial survey conducted by the</w:t>
      </w:r>
      <w:r w:rsidR="00872D7E">
        <w:rPr>
          <w:rFonts w:ascii="Arial" w:hAnsi="Arial" w:cs="Arial"/>
          <w:bCs/>
          <w:sz w:val="22"/>
          <w:szCs w:val="22"/>
        </w:rPr>
        <w:t xml:space="preserve"> BDL</w:t>
      </w:r>
      <w:r w:rsidR="00F03CA3" w:rsidRPr="004A5381">
        <w:rPr>
          <w:rFonts w:ascii="Arial" w:hAnsi="Arial" w:cs="Arial"/>
          <w:bCs/>
          <w:sz w:val="22"/>
          <w:szCs w:val="22"/>
        </w:rPr>
        <w:t xml:space="preserve">. </w:t>
      </w:r>
      <w:bookmarkEnd w:id="0"/>
    </w:p>
    <w:p w14:paraId="63FA7212" w14:textId="737A22B5" w:rsidR="00ED36C7" w:rsidRPr="00DA5C14" w:rsidRDefault="00AD650E" w:rsidP="00475E91">
      <w:pPr>
        <w:spacing w:after="120"/>
        <w:ind w:right="-2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column"/>
      </w:r>
    </w:p>
    <w:p w14:paraId="19F6F82E" w14:textId="77777777" w:rsidR="00C66EB0" w:rsidRPr="00DA5C14" w:rsidRDefault="00C66EB0" w:rsidP="00CD0D2A">
      <w:pPr>
        <w:widowControl w:val="0"/>
        <w:autoSpaceDE w:val="0"/>
        <w:autoSpaceDN w:val="0"/>
        <w:adjustRightInd w:val="0"/>
        <w:spacing w:before="120" w:after="120"/>
        <w:ind w:right="-23"/>
        <w:rPr>
          <w:rFonts w:ascii="Arial" w:hAnsi="Arial" w:cs="Arial"/>
          <w:bCs/>
          <w:sz w:val="8"/>
          <w:szCs w:val="8"/>
        </w:rPr>
      </w:pPr>
    </w:p>
    <w:tbl>
      <w:tblPr>
        <w:tblStyle w:val="TabelleRaster8"/>
        <w:tblW w:w="8364" w:type="dxa"/>
        <w:tblInd w:w="108" w:type="dxa"/>
        <w:tblLook w:val="04A0" w:firstRow="1" w:lastRow="0" w:firstColumn="1" w:lastColumn="0" w:noHBand="0" w:noVBand="1"/>
      </w:tblPr>
      <w:tblGrid>
        <w:gridCol w:w="4153"/>
        <w:gridCol w:w="4211"/>
      </w:tblGrid>
      <w:tr w:rsidR="00DC300B" w:rsidRPr="005F1515" w14:paraId="1A9A896A" w14:textId="77777777" w:rsidTr="00F46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tcW w:w="8364" w:type="dxa"/>
            <w:gridSpan w:val="2"/>
            <w:shd w:val="clear" w:color="auto" w:fill="0150A0"/>
          </w:tcPr>
          <w:p w14:paraId="329BB5CF" w14:textId="77777777" w:rsidR="00DC300B" w:rsidRPr="00ED36C7" w:rsidRDefault="00B15709" w:rsidP="00CD0D2A">
            <w:pPr>
              <w:spacing w:before="120" w:after="120"/>
              <w:ind w:right="-2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36C7">
              <w:rPr>
                <w:rFonts w:ascii="Arial" w:hAnsi="Arial" w:cs="Arial"/>
                <w:i/>
                <w:sz w:val="18"/>
                <w:szCs w:val="18"/>
              </w:rPr>
              <w:t>Forecast for the Leasing Market in</w:t>
            </w:r>
            <w:r w:rsidR="00DC300B" w:rsidRPr="00ED36C7">
              <w:rPr>
                <w:rFonts w:ascii="Arial" w:hAnsi="Arial" w:cs="Arial"/>
                <w:i/>
                <w:sz w:val="18"/>
                <w:szCs w:val="18"/>
              </w:rPr>
              <w:t xml:space="preserve"> 20</w:t>
            </w:r>
            <w:r w:rsidR="001F70C3" w:rsidRPr="00ED36C7">
              <w:rPr>
                <w:rFonts w:ascii="Arial" w:hAnsi="Arial" w:cs="Arial"/>
                <w:i/>
                <w:sz w:val="18"/>
                <w:szCs w:val="18"/>
              </w:rPr>
              <w:t>21</w:t>
            </w:r>
            <w:r w:rsidR="00DC300B" w:rsidRPr="00ED36C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A03F13" w14:paraId="24718E90" w14:textId="77777777" w:rsidTr="00F46EE0">
        <w:trPr>
          <w:trHeight w:val="304"/>
        </w:trPr>
        <w:tc>
          <w:tcPr>
            <w:tcW w:w="4153" w:type="dxa"/>
            <w:shd w:val="clear" w:color="auto" w:fill="DBE5F1" w:themeFill="accent1" w:themeFillTint="33"/>
            <w:vAlign w:val="center"/>
          </w:tcPr>
          <w:p w14:paraId="3596585D" w14:textId="77777777" w:rsidR="00A03F13" w:rsidRPr="00ED36C7" w:rsidRDefault="003B2552" w:rsidP="00552ED1">
            <w:pPr>
              <w:spacing w:before="60" w:after="60"/>
              <w:ind w:right="-28"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 xml:space="preserve">Leasing </w:t>
            </w:r>
            <w:r w:rsidR="008A55E0" w:rsidRPr="00ED36C7">
              <w:rPr>
                <w:rFonts w:ascii="Arial" w:hAnsi="Arial" w:cs="Arial"/>
                <w:sz w:val="18"/>
                <w:szCs w:val="18"/>
              </w:rPr>
              <w:t>a</w:t>
            </w:r>
            <w:r w:rsidRPr="00ED36C7">
              <w:rPr>
                <w:rFonts w:ascii="Arial" w:hAnsi="Arial" w:cs="Arial"/>
                <w:sz w:val="18"/>
                <w:szCs w:val="18"/>
              </w:rPr>
              <w:t xml:space="preserve">nd </w:t>
            </w:r>
            <w:r w:rsidR="008A55E0" w:rsidRPr="00ED36C7">
              <w:rPr>
                <w:rFonts w:ascii="Arial" w:hAnsi="Arial" w:cs="Arial"/>
                <w:sz w:val="18"/>
                <w:szCs w:val="18"/>
              </w:rPr>
              <w:t>hire purchase</w:t>
            </w:r>
          </w:p>
        </w:tc>
        <w:tc>
          <w:tcPr>
            <w:tcW w:w="4211" w:type="dxa"/>
            <w:shd w:val="clear" w:color="auto" w:fill="DBE5F1" w:themeFill="accent1" w:themeFillTint="33"/>
            <w:vAlign w:val="center"/>
          </w:tcPr>
          <w:p w14:paraId="63C8ABBE" w14:textId="77777777" w:rsidR="00A03F13" w:rsidRPr="00ED36C7" w:rsidRDefault="003B2552" w:rsidP="00B239A1">
            <w:pPr>
              <w:tabs>
                <w:tab w:val="center" w:pos="1352"/>
              </w:tabs>
              <w:spacing w:before="60" w:after="60" w:line="360" w:lineRule="auto"/>
              <w:ind w:right="87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>72</w:t>
            </w:r>
            <w:r w:rsidR="00B15709" w:rsidRPr="00ED36C7">
              <w:rPr>
                <w:rFonts w:ascii="Arial" w:hAnsi="Arial" w:cs="Arial"/>
                <w:sz w:val="18"/>
                <w:szCs w:val="18"/>
              </w:rPr>
              <w:t>.0 billion euro (+3.</w:t>
            </w:r>
            <w:r w:rsidRPr="00ED36C7">
              <w:rPr>
                <w:rFonts w:ascii="Arial" w:hAnsi="Arial" w:cs="Arial"/>
                <w:sz w:val="18"/>
                <w:szCs w:val="18"/>
              </w:rPr>
              <w:t>4 %)</w:t>
            </w:r>
          </w:p>
        </w:tc>
      </w:tr>
      <w:tr w:rsidR="003B2552" w14:paraId="51AC1A93" w14:textId="77777777" w:rsidTr="00F46EE0">
        <w:trPr>
          <w:trHeight w:val="304"/>
        </w:trPr>
        <w:tc>
          <w:tcPr>
            <w:tcW w:w="4153" w:type="dxa"/>
            <w:shd w:val="clear" w:color="auto" w:fill="DBE5F1" w:themeFill="accent1" w:themeFillTint="33"/>
            <w:vAlign w:val="center"/>
          </w:tcPr>
          <w:p w14:paraId="3376EB6D" w14:textId="77777777" w:rsidR="003B2552" w:rsidRPr="00ED36C7" w:rsidRDefault="00ED36C7" w:rsidP="003B2552">
            <w:pPr>
              <w:spacing w:before="60" w:after="60"/>
              <w:ind w:right="-28"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A55E0" w:rsidRPr="00ED36C7">
              <w:rPr>
                <w:rFonts w:ascii="Arial" w:hAnsi="Arial" w:cs="Arial"/>
                <w:sz w:val="18"/>
                <w:szCs w:val="18"/>
              </w:rPr>
              <w:t>thereof from hire purchase</w:t>
            </w:r>
          </w:p>
        </w:tc>
        <w:tc>
          <w:tcPr>
            <w:tcW w:w="4211" w:type="dxa"/>
            <w:shd w:val="clear" w:color="auto" w:fill="DBE5F1" w:themeFill="accent1" w:themeFillTint="33"/>
            <w:vAlign w:val="center"/>
          </w:tcPr>
          <w:p w14:paraId="74328884" w14:textId="77777777" w:rsidR="003B2552" w:rsidRPr="00ED36C7" w:rsidRDefault="003B2552" w:rsidP="00B239A1">
            <w:pPr>
              <w:tabs>
                <w:tab w:val="center" w:pos="1352"/>
              </w:tabs>
              <w:spacing w:before="60" w:after="60" w:line="360" w:lineRule="auto"/>
              <w:ind w:right="87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>9</w:t>
            </w:r>
            <w:r w:rsidR="00B15709" w:rsidRPr="00ED36C7">
              <w:rPr>
                <w:rFonts w:ascii="Arial" w:hAnsi="Arial" w:cs="Arial"/>
                <w:sz w:val="18"/>
                <w:szCs w:val="18"/>
              </w:rPr>
              <w:t>.0 billion euro</w:t>
            </w:r>
            <w:r w:rsidRPr="00ED36C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15709" w:rsidRPr="00ED36C7">
              <w:rPr>
                <w:rFonts w:ascii="Arial" w:hAnsi="Arial" w:cs="Arial"/>
                <w:sz w:val="18"/>
                <w:szCs w:val="18"/>
              </w:rPr>
              <w:t>+10.</w:t>
            </w:r>
            <w:r w:rsidRPr="00ED36C7">
              <w:rPr>
                <w:rFonts w:ascii="Arial" w:hAnsi="Arial" w:cs="Arial"/>
                <w:sz w:val="18"/>
                <w:szCs w:val="18"/>
              </w:rPr>
              <w:t>2 %)</w:t>
            </w:r>
          </w:p>
        </w:tc>
      </w:tr>
      <w:tr w:rsidR="003B2552" w14:paraId="3D8D9BE0" w14:textId="77777777" w:rsidTr="00F46EE0">
        <w:trPr>
          <w:trHeight w:val="304"/>
        </w:trPr>
        <w:tc>
          <w:tcPr>
            <w:tcW w:w="4153" w:type="dxa"/>
            <w:shd w:val="clear" w:color="auto" w:fill="DBE5F1" w:themeFill="accent1" w:themeFillTint="33"/>
            <w:vAlign w:val="center"/>
          </w:tcPr>
          <w:p w14:paraId="52846586" w14:textId="77777777" w:rsidR="003B2552" w:rsidRPr="00ED36C7" w:rsidRDefault="00ED36C7" w:rsidP="003B2552">
            <w:pPr>
              <w:spacing w:before="60" w:after="60"/>
              <w:ind w:right="-28"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A55E0" w:rsidRPr="00ED36C7">
              <w:rPr>
                <w:rFonts w:ascii="Arial" w:hAnsi="Arial" w:cs="Arial"/>
                <w:sz w:val="18"/>
                <w:szCs w:val="18"/>
              </w:rPr>
              <w:t>thereof from new leasing business</w:t>
            </w:r>
          </w:p>
        </w:tc>
        <w:tc>
          <w:tcPr>
            <w:tcW w:w="4211" w:type="dxa"/>
            <w:shd w:val="clear" w:color="auto" w:fill="DBE5F1" w:themeFill="accent1" w:themeFillTint="33"/>
            <w:vAlign w:val="center"/>
          </w:tcPr>
          <w:p w14:paraId="3C37A3A4" w14:textId="77777777" w:rsidR="003B2552" w:rsidRPr="00ED36C7" w:rsidRDefault="003B2552" w:rsidP="00B239A1">
            <w:pPr>
              <w:tabs>
                <w:tab w:val="center" w:pos="1352"/>
              </w:tabs>
              <w:spacing w:before="60" w:after="60" w:line="360" w:lineRule="auto"/>
              <w:ind w:right="87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>63</w:t>
            </w:r>
            <w:r w:rsidR="00B15709" w:rsidRPr="00ED36C7">
              <w:rPr>
                <w:rFonts w:ascii="Arial" w:hAnsi="Arial" w:cs="Arial"/>
                <w:sz w:val="18"/>
                <w:szCs w:val="18"/>
              </w:rPr>
              <w:t>.0 billion euro</w:t>
            </w:r>
            <w:r w:rsidRPr="00ED36C7">
              <w:rPr>
                <w:rFonts w:ascii="Arial" w:hAnsi="Arial" w:cs="Arial"/>
                <w:sz w:val="18"/>
                <w:szCs w:val="18"/>
              </w:rPr>
              <w:t xml:space="preserve"> (+</w:t>
            </w:r>
            <w:r w:rsidR="00B15709" w:rsidRPr="00ED36C7">
              <w:rPr>
                <w:rFonts w:ascii="Arial" w:hAnsi="Arial" w:cs="Arial"/>
                <w:sz w:val="18"/>
                <w:szCs w:val="18"/>
              </w:rPr>
              <w:t>2.</w:t>
            </w:r>
            <w:r w:rsidRPr="00ED36C7">
              <w:rPr>
                <w:rFonts w:ascii="Arial" w:hAnsi="Arial" w:cs="Arial"/>
                <w:sz w:val="18"/>
                <w:szCs w:val="18"/>
              </w:rPr>
              <w:t>5 %)</w:t>
            </w:r>
          </w:p>
        </w:tc>
      </w:tr>
      <w:tr w:rsidR="003B2552" w14:paraId="7AB25E9E" w14:textId="77777777" w:rsidTr="00F46EE0">
        <w:trPr>
          <w:trHeight w:val="573"/>
        </w:trPr>
        <w:tc>
          <w:tcPr>
            <w:tcW w:w="4153" w:type="dxa"/>
            <w:shd w:val="clear" w:color="auto" w:fill="DBE5F1" w:themeFill="accent1" w:themeFillTint="33"/>
            <w:vAlign w:val="center"/>
          </w:tcPr>
          <w:p w14:paraId="7CA1BD48" w14:textId="77777777" w:rsidR="003B2552" w:rsidRPr="00ED36C7" w:rsidRDefault="00F46EE0" w:rsidP="003B2552">
            <w:pPr>
              <w:spacing w:after="60"/>
              <w:ind w:right="-2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>Equipment l</w:t>
            </w:r>
            <w:r w:rsidR="003B2552" w:rsidRPr="00ED36C7">
              <w:rPr>
                <w:rFonts w:ascii="Arial" w:hAnsi="Arial" w:cs="Arial"/>
                <w:sz w:val="18"/>
                <w:szCs w:val="18"/>
              </w:rPr>
              <w:t>easing</w:t>
            </w:r>
          </w:p>
          <w:p w14:paraId="63E77C59" w14:textId="77777777" w:rsidR="003B2552" w:rsidRPr="00ED36C7" w:rsidRDefault="00F46EE0" w:rsidP="003B2552">
            <w:pPr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>Real-estate l</w:t>
            </w:r>
            <w:r w:rsidR="003B2552" w:rsidRPr="00ED36C7">
              <w:rPr>
                <w:rFonts w:ascii="Arial" w:hAnsi="Arial" w:cs="Arial"/>
                <w:sz w:val="18"/>
                <w:szCs w:val="18"/>
              </w:rPr>
              <w:t>easing</w:t>
            </w:r>
          </w:p>
        </w:tc>
        <w:tc>
          <w:tcPr>
            <w:tcW w:w="4211" w:type="dxa"/>
            <w:shd w:val="clear" w:color="auto" w:fill="DBE5F1" w:themeFill="accent1" w:themeFillTint="33"/>
            <w:vAlign w:val="center"/>
          </w:tcPr>
          <w:p w14:paraId="429A52A6" w14:textId="77777777" w:rsidR="003B2552" w:rsidRPr="00ED36C7" w:rsidRDefault="00B15709" w:rsidP="00B239A1">
            <w:pPr>
              <w:tabs>
                <w:tab w:val="center" w:pos="1352"/>
              </w:tabs>
              <w:spacing w:after="60"/>
              <w:ind w:right="879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>60.</w:t>
            </w:r>
            <w:r w:rsidR="003B2552" w:rsidRPr="00ED36C7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Pr="00ED36C7">
              <w:rPr>
                <w:rFonts w:ascii="Arial" w:hAnsi="Arial" w:cs="Arial"/>
                <w:sz w:val="18"/>
                <w:szCs w:val="18"/>
              </w:rPr>
              <w:t>billion euro</w:t>
            </w:r>
            <w:r w:rsidR="003B2552" w:rsidRPr="00ED36C7">
              <w:rPr>
                <w:rFonts w:ascii="Arial" w:hAnsi="Arial" w:cs="Arial"/>
                <w:sz w:val="18"/>
                <w:szCs w:val="18"/>
              </w:rPr>
              <w:t xml:space="preserve"> (+</w:t>
            </w:r>
            <w:r w:rsidRPr="00ED36C7">
              <w:rPr>
                <w:rFonts w:ascii="Arial" w:hAnsi="Arial" w:cs="Arial"/>
                <w:sz w:val="18"/>
                <w:szCs w:val="18"/>
              </w:rPr>
              <w:t>0.</w:t>
            </w:r>
            <w:r w:rsidR="003B2552" w:rsidRPr="00ED36C7">
              <w:rPr>
                <w:rFonts w:ascii="Arial" w:hAnsi="Arial" w:cs="Arial"/>
                <w:sz w:val="18"/>
                <w:szCs w:val="18"/>
              </w:rPr>
              <w:t>6 %)</w:t>
            </w:r>
          </w:p>
          <w:p w14:paraId="35618EDC" w14:textId="77777777" w:rsidR="003B2552" w:rsidRPr="00ED36C7" w:rsidRDefault="00B15709" w:rsidP="00B239A1">
            <w:pPr>
              <w:tabs>
                <w:tab w:val="center" w:pos="1352"/>
              </w:tabs>
              <w:ind w:right="87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>2.</w:t>
            </w:r>
            <w:r w:rsidR="003B2552" w:rsidRPr="00ED36C7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ED36C7">
              <w:rPr>
                <w:rFonts w:ascii="Arial" w:hAnsi="Arial" w:cs="Arial"/>
                <w:sz w:val="18"/>
                <w:szCs w:val="18"/>
              </w:rPr>
              <w:t>billion euro</w:t>
            </w:r>
            <w:r w:rsidR="003B2552" w:rsidRPr="00ED36C7">
              <w:rPr>
                <w:rFonts w:ascii="Arial" w:hAnsi="Arial" w:cs="Arial"/>
                <w:sz w:val="18"/>
                <w:szCs w:val="18"/>
              </w:rPr>
              <w:t xml:space="preserve"> (+132 %)</w:t>
            </w:r>
          </w:p>
        </w:tc>
      </w:tr>
      <w:tr w:rsidR="003B2552" w14:paraId="341461AC" w14:textId="77777777" w:rsidTr="00F46EE0">
        <w:trPr>
          <w:trHeight w:val="552"/>
        </w:trPr>
        <w:tc>
          <w:tcPr>
            <w:tcW w:w="4153" w:type="dxa"/>
            <w:shd w:val="clear" w:color="auto" w:fill="DBE5F1" w:themeFill="accent1" w:themeFillTint="33"/>
            <w:vAlign w:val="center"/>
          </w:tcPr>
          <w:p w14:paraId="27E4C54B" w14:textId="77777777" w:rsidR="003B2552" w:rsidRPr="00ED36C7" w:rsidRDefault="00F46EE0" w:rsidP="003B2552">
            <w:pPr>
              <w:spacing w:before="60"/>
              <w:ind w:right="-28"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>Equipment leasing penetration rate</w:t>
            </w:r>
          </w:p>
        </w:tc>
        <w:tc>
          <w:tcPr>
            <w:tcW w:w="4211" w:type="dxa"/>
            <w:shd w:val="clear" w:color="auto" w:fill="DBE5F1" w:themeFill="accent1" w:themeFillTint="33"/>
            <w:vAlign w:val="center"/>
          </w:tcPr>
          <w:p w14:paraId="0E718552" w14:textId="77777777" w:rsidR="003B2552" w:rsidRPr="00ED36C7" w:rsidRDefault="00B15709" w:rsidP="003B2552">
            <w:pPr>
              <w:spacing w:after="60"/>
              <w:ind w:right="-10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>26.</w:t>
            </w:r>
            <w:r w:rsidR="003B2552" w:rsidRPr="00ED36C7">
              <w:rPr>
                <w:rFonts w:ascii="Arial" w:hAnsi="Arial" w:cs="Arial"/>
                <w:sz w:val="18"/>
                <w:szCs w:val="18"/>
              </w:rPr>
              <w:t>7 %</w:t>
            </w:r>
          </w:p>
        </w:tc>
      </w:tr>
      <w:tr w:rsidR="003B2552" w:rsidRPr="005F1515" w14:paraId="3FF90772" w14:textId="77777777" w:rsidTr="00F46EE0">
        <w:trPr>
          <w:trHeight w:val="387"/>
        </w:trPr>
        <w:tc>
          <w:tcPr>
            <w:tcW w:w="4153" w:type="dxa"/>
            <w:shd w:val="clear" w:color="auto" w:fill="0150A0"/>
            <w:vAlign w:val="center"/>
          </w:tcPr>
          <w:p w14:paraId="0CF3D6E2" w14:textId="77777777" w:rsidR="003B2552" w:rsidRPr="00ED36C7" w:rsidRDefault="00F46EE0" w:rsidP="003B2552">
            <w:pPr>
              <w:spacing w:after="60"/>
              <w:ind w:right="-28"/>
              <w:contextualSpacing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D36C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Segments (Leasing + Hire Purchase</w:t>
            </w:r>
            <w:r w:rsidR="003B2552" w:rsidRPr="00ED36C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4211" w:type="dxa"/>
            <w:shd w:val="clear" w:color="auto" w:fill="0150A0"/>
            <w:vAlign w:val="center"/>
          </w:tcPr>
          <w:p w14:paraId="018755F3" w14:textId="77777777" w:rsidR="003B2552" w:rsidRPr="00ED36C7" w:rsidRDefault="00F46EE0" w:rsidP="003B2552">
            <w:pPr>
              <w:spacing w:after="60"/>
              <w:ind w:right="-107"/>
              <w:contextualSpacing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D36C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Year-on-Year Comparison with 202</w:t>
            </w:r>
            <w:r w:rsidR="003B2552" w:rsidRPr="00ED36C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0</w:t>
            </w:r>
          </w:p>
        </w:tc>
      </w:tr>
      <w:tr w:rsidR="003B2552" w14:paraId="2270211B" w14:textId="77777777" w:rsidTr="00F46EE0">
        <w:trPr>
          <w:trHeight w:val="317"/>
        </w:trPr>
        <w:tc>
          <w:tcPr>
            <w:tcW w:w="4153" w:type="dxa"/>
            <w:shd w:val="clear" w:color="auto" w:fill="DBE5F1" w:themeFill="accent1" w:themeFillTint="33"/>
          </w:tcPr>
          <w:p w14:paraId="4F9F74C9" w14:textId="77777777" w:rsidR="003B2552" w:rsidRPr="00ED36C7" w:rsidRDefault="00F46EE0" w:rsidP="003B2552">
            <w:pPr>
              <w:spacing w:after="60" w:line="360" w:lineRule="auto"/>
              <w:ind w:right="-2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>Passenger cars</w:t>
            </w:r>
          </w:p>
        </w:tc>
        <w:tc>
          <w:tcPr>
            <w:tcW w:w="4211" w:type="dxa"/>
            <w:shd w:val="clear" w:color="auto" w:fill="DBE5F1" w:themeFill="accent1" w:themeFillTint="33"/>
          </w:tcPr>
          <w:p w14:paraId="33501631" w14:textId="77777777" w:rsidR="003B2552" w:rsidRPr="00ED36C7" w:rsidRDefault="001344B8" w:rsidP="001344B8">
            <w:pPr>
              <w:tabs>
                <w:tab w:val="right" w:pos="198"/>
                <w:tab w:val="left" w:pos="2062"/>
              </w:tabs>
              <w:spacing w:after="60" w:line="360" w:lineRule="auto"/>
              <w:ind w:right="-10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B2552" w:rsidRPr="00ED36C7">
              <w:rPr>
                <w:rFonts w:ascii="Arial" w:hAnsi="Arial" w:cs="Arial"/>
                <w:sz w:val="18"/>
                <w:szCs w:val="18"/>
              </w:rPr>
              <w:t>2 %</w:t>
            </w:r>
          </w:p>
        </w:tc>
      </w:tr>
      <w:tr w:rsidR="003B2552" w14:paraId="1BED8278" w14:textId="77777777" w:rsidTr="00F46EE0">
        <w:trPr>
          <w:trHeight w:val="317"/>
        </w:trPr>
        <w:tc>
          <w:tcPr>
            <w:tcW w:w="4153" w:type="dxa"/>
            <w:shd w:val="clear" w:color="auto" w:fill="DBE5F1" w:themeFill="accent1" w:themeFillTint="33"/>
          </w:tcPr>
          <w:p w14:paraId="42B2D157" w14:textId="77777777" w:rsidR="003B2552" w:rsidRPr="00ED36C7" w:rsidRDefault="00F46EE0" w:rsidP="003B2552">
            <w:pPr>
              <w:spacing w:after="60" w:line="360" w:lineRule="auto"/>
              <w:ind w:right="-2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>Commercial vehicles</w:t>
            </w:r>
          </w:p>
        </w:tc>
        <w:tc>
          <w:tcPr>
            <w:tcW w:w="4211" w:type="dxa"/>
            <w:shd w:val="clear" w:color="auto" w:fill="DBE5F1" w:themeFill="accent1" w:themeFillTint="33"/>
          </w:tcPr>
          <w:p w14:paraId="6115C9D9" w14:textId="77777777" w:rsidR="003B2552" w:rsidRPr="00ED36C7" w:rsidRDefault="001344B8" w:rsidP="001344B8">
            <w:pPr>
              <w:tabs>
                <w:tab w:val="right" w:pos="198"/>
                <w:tab w:val="left" w:pos="2062"/>
              </w:tabs>
              <w:spacing w:after="60" w:line="360" w:lineRule="auto"/>
              <w:ind w:right="-10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B2552" w:rsidRPr="00ED36C7">
              <w:rPr>
                <w:rFonts w:ascii="Arial" w:hAnsi="Arial" w:cs="Arial"/>
                <w:sz w:val="18"/>
                <w:szCs w:val="18"/>
              </w:rPr>
              <w:t>9 %</w:t>
            </w:r>
          </w:p>
        </w:tc>
      </w:tr>
      <w:tr w:rsidR="003B2552" w14:paraId="59F7514C" w14:textId="77777777" w:rsidTr="00F46EE0">
        <w:trPr>
          <w:trHeight w:val="317"/>
        </w:trPr>
        <w:tc>
          <w:tcPr>
            <w:tcW w:w="4153" w:type="dxa"/>
            <w:shd w:val="clear" w:color="auto" w:fill="DBE5F1" w:themeFill="accent1" w:themeFillTint="33"/>
          </w:tcPr>
          <w:p w14:paraId="01B2FA02" w14:textId="77777777" w:rsidR="003B2552" w:rsidRPr="00ED36C7" w:rsidRDefault="003B2552" w:rsidP="003B2552">
            <w:pPr>
              <w:spacing w:after="60" w:line="360" w:lineRule="auto"/>
              <w:ind w:right="-2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>Produ</w:t>
            </w:r>
            <w:r w:rsidR="00F46EE0" w:rsidRPr="00ED36C7">
              <w:rPr>
                <w:rFonts w:ascii="Arial" w:hAnsi="Arial" w:cs="Arial"/>
                <w:sz w:val="18"/>
                <w:szCs w:val="18"/>
              </w:rPr>
              <w:t>c</w:t>
            </w:r>
            <w:r w:rsidRPr="00ED36C7">
              <w:rPr>
                <w:rFonts w:ascii="Arial" w:hAnsi="Arial" w:cs="Arial"/>
                <w:sz w:val="18"/>
                <w:szCs w:val="18"/>
              </w:rPr>
              <w:t>tion</w:t>
            </w:r>
            <w:r w:rsidR="00F46EE0" w:rsidRPr="00ED36C7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Pr="00ED36C7">
              <w:rPr>
                <w:rFonts w:ascii="Arial" w:hAnsi="Arial" w:cs="Arial"/>
                <w:sz w:val="18"/>
                <w:szCs w:val="18"/>
              </w:rPr>
              <w:t>ch</w:t>
            </w:r>
            <w:r w:rsidR="00F46EE0" w:rsidRPr="00ED36C7">
              <w:rPr>
                <w:rFonts w:ascii="Arial" w:hAnsi="Arial" w:cs="Arial"/>
                <w:sz w:val="18"/>
                <w:szCs w:val="18"/>
              </w:rPr>
              <w:t>inery</w:t>
            </w:r>
          </w:p>
        </w:tc>
        <w:tc>
          <w:tcPr>
            <w:tcW w:w="4211" w:type="dxa"/>
            <w:shd w:val="clear" w:color="auto" w:fill="DBE5F1" w:themeFill="accent1" w:themeFillTint="33"/>
          </w:tcPr>
          <w:p w14:paraId="4A2DCBFC" w14:textId="77777777" w:rsidR="003B2552" w:rsidRPr="00ED36C7" w:rsidRDefault="001344B8" w:rsidP="001344B8">
            <w:pPr>
              <w:tabs>
                <w:tab w:val="right" w:pos="198"/>
                <w:tab w:val="left" w:pos="2062"/>
              </w:tabs>
              <w:spacing w:after="60" w:line="360" w:lineRule="auto"/>
              <w:ind w:right="-10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B2552" w:rsidRPr="00ED36C7">
              <w:rPr>
                <w:rFonts w:ascii="Arial" w:hAnsi="Arial" w:cs="Arial"/>
                <w:sz w:val="18"/>
                <w:szCs w:val="18"/>
              </w:rPr>
              <w:t>3 %</w:t>
            </w:r>
          </w:p>
        </w:tc>
      </w:tr>
      <w:tr w:rsidR="003B2552" w14:paraId="781AFFF4" w14:textId="77777777" w:rsidTr="00F46EE0">
        <w:trPr>
          <w:trHeight w:val="265"/>
        </w:trPr>
        <w:tc>
          <w:tcPr>
            <w:tcW w:w="4153" w:type="dxa"/>
            <w:shd w:val="clear" w:color="auto" w:fill="DBE5F1" w:themeFill="accent1" w:themeFillTint="33"/>
          </w:tcPr>
          <w:p w14:paraId="7FF6BDC7" w14:textId="77777777" w:rsidR="003B2552" w:rsidRPr="00ED36C7" w:rsidRDefault="00F46EE0" w:rsidP="003B2552">
            <w:pPr>
              <w:spacing w:after="60" w:line="360" w:lineRule="auto"/>
              <w:ind w:right="-2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>Office machines, IT</w:t>
            </w:r>
          </w:p>
        </w:tc>
        <w:tc>
          <w:tcPr>
            <w:tcW w:w="4211" w:type="dxa"/>
            <w:shd w:val="clear" w:color="auto" w:fill="DBE5F1" w:themeFill="accent1" w:themeFillTint="33"/>
          </w:tcPr>
          <w:p w14:paraId="37DB6E15" w14:textId="77777777" w:rsidR="003B2552" w:rsidRPr="00ED36C7" w:rsidRDefault="001344B8" w:rsidP="001344B8">
            <w:pPr>
              <w:pStyle w:val="Listenabsatz"/>
              <w:tabs>
                <w:tab w:val="right" w:pos="198"/>
                <w:tab w:val="left" w:pos="2062"/>
              </w:tabs>
              <w:spacing w:after="60" w:line="360" w:lineRule="auto"/>
              <w:ind w:left="0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552" w:rsidRPr="00ED36C7">
              <w:rPr>
                <w:rFonts w:ascii="Arial" w:hAnsi="Arial" w:cs="Arial"/>
                <w:sz w:val="18"/>
                <w:szCs w:val="18"/>
              </w:rPr>
              <w:t>-3 %</w:t>
            </w:r>
          </w:p>
        </w:tc>
      </w:tr>
      <w:tr w:rsidR="003B2552" w14:paraId="7E236312" w14:textId="77777777" w:rsidTr="00F46EE0">
        <w:trPr>
          <w:trHeight w:val="330"/>
        </w:trPr>
        <w:tc>
          <w:tcPr>
            <w:tcW w:w="4153" w:type="dxa"/>
            <w:shd w:val="clear" w:color="auto" w:fill="DBE5F1" w:themeFill="accent1" w:themeFillTint="33"/>
          </w:tcPr>
          <w:p w14:paraId="3EDA3C29" w14:textId="77777777" w:rsidR="003B2552" w:rsidRPr="00ED36C7" w:rsidRDefault="003B2552" w:rsidP="003B2552">
            <w:pPr>
              <w:spacing w:after="60" w:line="360" w:lineRule="auto"/>
              <w:ind w:right="-2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>Medi</w:t>
            </w:r>
            <w:r w:rsidR="00F46EE0" w:rsidRPr="00ED36C7">
              <w:rPr>
                <w:rFonts w:ascii="Arial" w:hAnsi="Arial" w:cs="Arial"/>
                <w:sz w:val="18"/>
                <w:szCs w:val="18"/>
              </w:rPr>
              <w:t>cal technology</w:t>
            </w:r>
          </w:p>
        </w:tc>
        <w:tc>
          <w:tcPr>
            <w:tcW w:w="4211" w:type="dxa"/>
            <w:shd w:val="clear" w:color="auto" w:fill="DBE5F1" w:themeFill="accent1" w:themeFillTint="33"/>
          </w:tcPr>
          <w:p w14:paraId="5542C8EF" w14:textId="77777777" w:rsidR="003B2552" w:rsidRPr="00ED36C7" w:rsidRDefault="001344B8" w:rsidP="001344B8">
            <w:pPr>
              <w:tabs>
                <w:tab w:val="right" w:pos="198"/>
                <w:tab w:val="left" w:pos="2062"/>
              </w:tabs>
              <w:spacing w:after="60" w:line="360" w:lineRule="auto"/>
              <w:ind w:right="-10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B2552" w:rsidRPr="00ED36C7">
              <w:rPr>
                <w:rFonts w:ascii="Arial" w:hAnsi="Arial" w:cs="Arial"/>
                <w:sz w:val="18"/>
                <w:szCs w:val="18"/>
              </w:rPr>
              <w:t>3 %</w:t>
            </w:r>
          </w:p>
        </w:tc>
      </w:tr>
      <w:tr w:rsidR="003B2552" w14:paraId="51DC2532" w14:textId="77777777" w:rsidTr="00F46EE0">
        <w:trPr>
          <w:trHeight w:val="317"/>
        </w:trPr>
        <w:tc>
          <w:tcPr>
            <w:tcW w:w="4153" w:type="dxa"/>
            <w:shd w:val="clear" w:color="auto" w:fill="DBE5F1" w:themeFill="accent1" w:themeFillTint="33"/>
          </w:tcPr>
          <w:p w14:paraId="2E9C991C" w14:textId="77777777" w:rsidR="003B2552" w:rsidRPr="00ED36C7" w:rsidRDefault="00F46EE0" w:rsidP="003B2552">
            <w:pPr>
              <w:spacing w:after="60" w:line="360" w:lineRule="auto"/>
              <w:ind w:right="-2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>Other equipment</w:t>
            </w:r>
          </w:p>
        </w:tc>
        <w:tc>
          <w:tcPr>
            <w:tcW w:w="4211" w:type="dxa"/>
            <w:shd w:val="clear" w:color="auto" w:fill="DBE5F1" w:themeFill="accent1" w:themeFillTint="33"/>
          </w:tcPr>
          <w:p w14:paraId="48AA8C7B" w14:textId="77777777" w:rsidR="003B2552" w:rsidRPr="00ED36C7" w:rsidRDefault="001344B8" w:rsidP="001344B8">
            <w:pPr>
              <w:tabs>
                <w:tab w:val="right" w:pos="198"/>
                <w:tab w:val="left" w:pos="2062"/>
              </w:tabs>
              <w:spacing w:after="60" w:line="360" w:lineRule="auto"/>
              <w:ind w:right="-10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B2552" w:rsidRPr="00ED36C7">
              <w:rPr>
                <w:rFonts w:ascii="Arial" w:hAnsi="Arial" w:cs="Arial"/>
                <w:sz w:val="18"/>
                <w:szCs w:val="18"/>
              </w:rPr>
              <w:t xml:space="preserve">8 % </w:t>
            </w:r>
          </w:p>
        </w:tc>
      </w:tr>
      <w:tr w:rsidR="003B2552" w14:paraId="6C23740A" w14:textId="77777777" w:rsidTr="00F46EE0">
        <w:trPr>
          <w:trHeight w:val="330"/>
        </w:trPr>
        <w:tc>
          <w:tcPr>
            <w:tcW w:w="4153" w:type="dxa"/>
            <w:shd w:val="clear" w:color="auto" w:fill="DBE5F1" w:themeFill="accent1" w:themeFillTint="33"/>
          </w:tcPr>
          <w:p w14:paraId="058BD931" w14:textId="77777777" w:rsidR="003B2552" w:rsidRPr="00ED36C7" w:rsidRDefault="00F46EE0" w:rsidP="003B2552">
            <w:pPr>
              <w:spacing w:after="60" w:line="360" w:lineRule="auto"/>
              <w:ind w:right="-2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>Aircraft, watercraft and railed vehicles</w:t>
            </w:r>
            <w:r w:rsidR="003B2552" w:rsidRPr="00ED36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1" w:type="dxa"/>
            <w:shd w:val="clear" w:color="auto" w:fill="DBE5F1" w:themeFill="accent1" w:themeFillTint="33"/>
          </w:tcPr>
          <w:p w14:paraId="6117E119" w14:textId="77777777" w:rsidR="003B2552" w:rsidRPr="00ED36C7" w:rsidRDefault="003B2552" w:rsidP="001344B8">
            <w:pPr>
              <w:tabs>
                <w:tab w:val="right" w:pos="198"/>
                <w:tab w:val="left" w:pos="2062"/>
              </w:tabs>
              <w:spacing w:after="60" w:line="360" w:lineRule="auto"/>
              <w:ind w:right="-10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6C7">
              <w:rPr>
                <w:rFonts w:ascii="Arial" w:hAnsi="Arial" w:cs="Arial"/>
                <w:sz w:val="18"/>
                <w:szCs w:val="18"/>
              </w:rPr>
              <w:t>-28 %</w:t>
            </w:r>
          </w:p>
        </w:tc>
      </w:tr>
      <w:tr w:rsidR="003B2552" w14:paraId="1D583AB9" w14:textId="77777777" w:rsidTr="00F46EE0">
        <w:trPr>
          <w:trHeight w:val="317"/>
        </w:trPr>
        <w:tc>
          <w:tcPr>
            <w:tcW w:w="4153" w:type="dxa"/>
            <w:shd w:val="clear" w:color="auto" w:fill="DBE5F1" w:themeFill="accent1" w:themeFillTint="33"/>
          </w:tcPr>
          <w:p w14:paraId="27279C6B" w14:textId="77777777" w:rsidR="003B2552" w:rsidRPr="00ED36C7" w:rsidRDefault="003B2552" w:rsidP="003B2552">
            <w:pPr>
              <w:spacing w:after="60" w:line="360" w:lineRule="auto"/>
              <w:ind w:right="-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1" w:type="dxa"/>
            <w:shd w:val="clear" w:color="auto" w:fill="DBE5F1" w:themeFill="accent1" w:themeFillTint="33"/>
          </w:tcPr>
          <w:p w14:paraId="35A88738" w14:textId="77777777" w:rsidR="003B2552" w:rsidRPr="00ED36C7" w:rsidRDefault="003B2552" w:rsidP="005D7DB6">
            <w:pPr>
              <w:tabs>
                <w:tab w:val="right" w:pos="198"/>
                <w:tab w:val="left" w:pos="3054"/>
              </w:tabs>
              <w:spacing w:after="60" w:line="360" w:lineRule="auto"/>
              <w:ind w:right="-10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52" w:rsidRPr="004C66D3" w14:paraId="6B47EA62" w14:textId="77777777" w:rsidTr="00F46EE0">
        <w:trPr>
          <w:trHeight w:val="440"/>
        </w:trPr>
        <w:tc>
          <w:tcPr>
            <w:tcW w:w="4153" w:type="dxa"/>
            <w:shd w:val="clear" w:color="auto" w:fill="014FA1"/>
            <w:vAlign w:val="center"/>
          </w:tcPr>
          <w:p w14:paraId="5CD19AB4" w14:textId="27145260" w:rsidR="003B2552" w:rsidRPr="004C66D3" w:rsidRDefault="00F46EE0" w:rsidP="00745D79">
            <w:pPr>
              <w:spacing w:after="60" w:line="360" w:lineRule="auto"/>
              <w:ind w:right="-28"/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C66D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Source</w:t>
            </w:r>
            <w:r w:rsidR="003B2552" w:rsidRPr="004C66D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: </w:t>
            </w:r>
            <w:r w:rsidR="00745D79" w:rsidRPr="004C66D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br/>
            </w:r>
            <w:r w:rsidR="00AD650E" w:rsidRPr="004C66D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German Economic Institute (IW)</w:t>
            </w:r>
            <w:r w:rsidR="00745D79" w:rsidRPr="004C66D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, BDL</w:t>
            </w:r>
          </w:p>
        </w:tc>
        <w:tc>
          <w:tcPr>
            <w:tcW w:w="4211" w:type="dxa"/>
            <w:shd w:val="clear" w:color="auto" w:fill="014FA1"/>
          </w:tcPr>
          <w:p w14:paraId="7028E0E0" w14:textId="77777777" w:rsidR="003B2552" w:rsidRPr="004C66D3" w:rsidRDefault="003B2552" w:rsidP="00745D79">
            <w:pPr>
              <w:spacing w:after="60" w:line="360" w:lineRule="auto"/>
              <w:ind w:right="-28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0F798EE" w14:textId="77777777" w:rsidR="00D47B62" w:rsidRPr="004C66D3" w:rsidRDefault="00D47B62" w:rsidP="00FC51AF">
      <w:pPr>
        <w:spacing w:after="120" w:line="360" w:lineRule="auto"/>
        <w:ind w:right="-28"/>
        <w:rPr>
          <w:rFonts w:ascii="Arial" w:hAnsi="Arial" w:cs="Arial"/>
          <w:sz w:val="10"/>
          <w:szCs w:val="10"/>
          <w:u w:val="single"/>
          <w:lang w:val="en-US"/>
        </w:rPr>
      </w:pPr>
    </w:p>
    <w:sectPr w:rsidR="00D47B62" w:rsidRPr="004C66D3" w:rsidSect="001315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2" w:right="1985" w:bottom="284" w:left="1446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BF15" w14:textId="77777777" w:rsidR="00E27A3B" w:rsidRDefault="00E27A3B">
      <w:r>
        <w:separator/>
      </w:r>
    </w:p>
  </w:endnote>
  <w:endnote w:type="continuationSeparator" w:id="0">
    <w:p w14:paraId="0FAF5583" w14:textId="77777777" w:rsidR="00E27A3B" w:rsidRDefault="00E2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16"/>
      </w:rPr>
      <w:id w:val="-1915920044"/>
      <w:docPartObj>
        <w:docPartGallery w:val="Page Numbers (Bottom of Page)"/>
        <w:docPartUnique/>
      </w:docPartObj>
    </w:sdtPr>
    <w:sdtEndPr/>
    <w:sdtContent>
      <w:p w14:paraId="1BC84B92" w14:textId="77777777" w:rsidR="001E0E00" w:rsidRPr="00111BA4" w:rsidRDefault="0064677F">
        <w:pPr>
          <w:pStyle w:val="Fuzeile"/>
          <w:jc w:val="right"/>
          <w:rPr>
            <w:rFonts w:ascii="Arial" w:hAnsi="Arial" w:cs="Arial"/>
            <w:sz w:val="20"/>
            <w:szCs w:val="16"/>
          </w:rPr>
        </w:pPr>
        <w:r w:rsidRPr="00111BA4">
          <w:rPr>
            <w:rFonts w:ascii="Arial" w:hAnsi="Arial" w:cs="Arial"/>
            <w:sz w:val="20"/>
            <w:szCs w:val="16"/>
          </w:rPr>
          <w:fldChar w:fldCharType="begin"/>
        </w:r>
        <w:r w:rsidR="001E0E00" w:rsidRPr="00111BA4">
          <w:rPr>
            <w:rFonts w:ascii="Arial" w:hAnsi="Arial" w:cs="Arial"/>
            <w:sz w:val="20"/>
            <w:szCs w:val="16"/>
          </w:rPr>
          <w:instrText>PAGE   \* MERGEFORMAT</w:instrText>
        </w:r>
        <w:r w:rsidRPr="00111BA4">
          <w:rPr>
            <w:rFonts w:ascii="Arial" w:hAnsi="Arial" w:cs="Arial"/>
            <w:sz w:val="20"/>
            <w:szCs w:val="16"/>
          </w:rPr>
          <w:fldChar w:fldCharType="separate"/>
        </w:r>
        <w:r w:rsidR="00B653B1">
          <w:rPr>
            <w:rFonts w:ascii="Arial" w:hAnsi="Arial" w:cs="Arial"/>
            <w:noProof/>
            <w:sz w:val="20"/>
            <w:szCs w:val="16"/>
          </w:rPr>
          <w:t>4</w:t>
        </w:r>
        <w:r w:rsidRPr="00111BA4">
          <w:rPr>
            <w:rFonts w:ascii="Arial" w:hAnsi="Arial" w:cs="Arial"/>
            <w:sz w:val="20"/>
            <w:szCs w:val="16"/>
          </w:rPr>
          <w:fldChar w:fldCharType="end"/>
        </w:r>
        <w:r w:rsidR="001E0E00" w:rsidRPr="00111BA4">
          <w:rPr>
            <w:rFonts w:ascii="Arial" w:hAnsi="Arial" w:cs="Arial"/>
            <w:sz w:val="20"/>
            <w:szCs w:val="16"/>
          </w:rPr>
          <w:t>/</w:t>
        </w:r>
        <w:r w:rsidR="001E0E00">
          <w:rPr>
            <w:rFonts w:ascii="Arial" w:hAnsi="Arial" w:cs="Arial"/>
            <w:sz w:val="20"/>
            <w:szCs w:val="16"/>
          </w:rPr>
          <w:t>4</w:t>
        </w:r>
      </w:p>
    </w:sdtContent>
  </w:sdt>
  <w:p w14:paraId="6E07EE90" w14:textId="77777777" w:rsidR="001E0E00" w:rsidRDefault="001E0E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5FA2" w14:textId="77777777" w:rsidR="001E0E00" w:rsidRDefault="001E0E00" w:rsidP="001F70C3">
    <w:pPr>
      <w:pStyle w:val="Fuzeile"/>
      <w:ind w:hanging="1276"/>
    </w:pPr>
    <w:r>
      <w:rPr>
        <w:noProof/>
        <w:lang w:eastAsia="en-GB"/>
      </w:rPr>
      <w:drawing>
        <wp:inline distT="0" distB="0" distL="0" distR="0" wp14:anchorId="19AEBC1D" wp14:editId="5F735370">
          <wp:extent cx="7691474" cy="577291"/>
          <wp:effectExtent l="0" t="0" r="508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11"/>
                  <a:stretch/>
                </pic:blipFill>
                <pic:spPr bwMode="auto">
                  <a:xfrm>
                    <a:off x="0" y="0"/>
                    <a:ext cx="7900106" cy="59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A884" w14:textId="77777777" w:rsidR="00E27A3B" w:rsidRDefault="00E27A3B">
      <w:r>
        <w:separator/>
      </w:r>
    </w:p>
  </w:footnote>
  <w:footnote w:type="continuationSeparator" w:id="0">
    <w:p w14:paraId="7A050B58" w14:textId="77777777" w:rsidR="00E27A3B" w:rsidRDefault="00E2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3D23" w14:textId="77777777" w:rsidR="001E0E00" w:rsidRDefault="001E0E00" w:rsidP="003F6556">
    <w:pPr>
      <w:pStyle w:val="Kopfzeile"/>
      <w:tabs>
        <w:tab w:val="clear" w:pos="9072"/>
        <w:tab w:val="right" w:pos="9639"/>
      </w:tabs>
      <w:ind w:right="-1304"/>
      <w:jc w:val="right"/>
    </w:pPr>
    <w:r>
      <w:rPr>
        <w:noProof/>
        <w:lang w:eastAsia="en-GB"/>
      </w:rPr>
      <w:drawing>
        <wp:inline distT="0" distB="0" distL="0" distR="0" wp14:anchorId="1666F7C3" wp14:editId="073BC06C">
          <wp:extent cx="2997200" cy="645108"/>
          <wp:effectExtent l="0" t="0" r="0" b="317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748" cy="651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86A50" w14:textId="77777777" w:rsidR="001E0E00" w:rsidRDefault="001E0E00" w:rsidP="003F6556">
    <w:pPr>
      <w:pStyle w:val="Kopfzeile"/>
      <w:tabs>
        <w:tab w:val="clear" w:pos="9072"/>
        <w:tab w:val="right" w:pos="9639"/>
      </w:tabs>
      <w:ind w:right="-1304"/>
      <w:jc w:val="right"/>
    </w:pPr>
  </w:p>
  <w:p w14:paraId="61A36FFA" w14:textId="77777777" w:rsidR="001E0E00" w:rsidRDefault="001E0E00" w:rsidP="003F6556">
    <w:pPr>
      <w:pStyle w:val="Kopfzeile"/>
      <w:tabs>
        <w:tab w:val="clear" w:pos="9072"/>
        <w:tab w:val="right" w:pos="9639"/>
      </w:tabs>
      <w:ind w:right="-130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661E" w14:textId="77777777" w:rsidR="001E0E00" w:rsidRDefault="001E0E00" w:rsidP="009345DD">
    <w:pPr>
      <w:pStyle w:val="Kopfzeile"/>
      <w:ind w:right="-1162"/>
      <w:jc w:val="right"/>
    </w:pPr>
    <w:r>
      <w:rPr>
        <w:noProof/>
        <w:lang w:eastAsia="en-GB"/>
      </w:rPr>
      <w:drawing>
        <wp:inline distT="0" distB="0" distL="0" distR="0" wp14:anchorId="1A5194C7" wp14:editId="46C549D8">
          <wp:extent cx="2997200" cy="645108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748" cy="651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FF763F" w14:textId="77777777" w:rsidR="001E0E00" w:rsidRDefault="001E0E00" w:rsidP="00475E91">
    <w:pPr>
      <w:spacing w:after="120"/>
      <w:ind w:right="-28"/>
      <w:rPr>
        <w:rFonts w:ascii="Arial" w:hAnsi="Arial" w:cs="Arial"/>
        <w:b/>
        <w:caps/>
        <w:sz w:val="28"/>
        <w:szCs w:val="28"/>
      </w:rPr>
    </w:pPr>
    <w:r>
      <w:rPr>
        <w:rFonts w:ascii="Arial" w:hAnsi="Arial" w:cs="Arial"/>
        <w:b/>
        <w:caps/>
        <w:sz w:val="28"/>
        <w:szCs w:val="28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7AB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1AF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308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B6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C8B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699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28B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46F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49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124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33DDA"/>
    <w:multiLevelType w:val="hybridMultilevel"/>
    <w:tmpl w:val="769E0EB4"/>
    <w:lvl w:ilvl="0" w:tplc="7D140DB6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45012"/>
    <w:multiLevelType w:val="hybridMultilevel"/>
    <w:tmpl w:val="A506416A"/>
    <w:lvl w:ilvl="0" w:tplc="FAFAC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0D78"/>
    <w:multiLevelType w:val="hybridMultilevel"/>
    <w:tmpl w:val="C5B8CDEA"/>
    <w:lvl w:ilvl="0" w:tplc="2FF6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1A7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723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4E0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68C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C8C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2EF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ACF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FFE5E35"/>
    <w:multiLevelType w:val="hybridMultilevel"/>
    <w:tmpl w:val="00E801AA"/>
    <w:lvl w:ilvl="0" w:tplc="E7B82F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E0DAF"/>
    <w:multiLevelType w:val="hybridMultilevel"/>
    <w:tmpl w:val="6E1CBCC6"/>
    <w:lvl w:ilvl="0" w:tplc="4E628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946BD"/>
    <w:multiLevelType w:val="hybridMultilevel"/>
    <w:tmpl w:val="0E563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D6"/>
    <w:rsid w:val="0000011D"/>
    <w:rsid w:val="00000AD4"/>
    <w:rsid w:val="0000172F"/>
    <w:rsid w:val="00001D8A"/>
    <w:rsid w:val="000035BA"/>
    <w:rsid w:val="000038CE"/>
    <w:rsid w:val="00003B30"/>
    <w:rsid w:val="00004404"/>
    <w:rsid w:val="000059E3"/>
    <w:rsid w:val="00007D4B"/>
    <w:rsid w:val="00007F11"/>
    <w:rsid w:val="00012C0B"/>
    <w:rsid w:val="00014D79"/>
    <w:rsid w:val="000154D1"/>
    <w:rsid w:val="00015D80"/>
    <w:rsid w:val="000163F6"/>
    <w:rsid w:val="0002201B"/>
    <w:rsid w:val="00022689"/>
    <w:rsid w:val="00023C7D"/>
    <w:rsid w:val="00026DB9"/>
    <w:rsid w:val="00030127"/>
    <w:rsid w:val="000313BB"/>
    <w:rsid w:val="000328AD"/>
    <w:rsid w:val="00032C22"/>
    <w:rsid w:val="0003399B"/>
    <w:rsid w:val="00035A53"/>
    <w:rsid w:val="00044C1C"/>
    <w:rsid w:val="0005125E"/>
    <w:rsid w:val="0005176F"/>
    <w:rsid w:val="00052514"/>
    <w:rsid w:val="000546EA"/>
    <w:rsid w:val="000570D0"/>
    <w:rsid w:val="00064ADF"/>
    <w:rsid w:val="00071A47"/>
    <w:rsid w:val="000721B6"/>
    <w:rsid w:val="0007329E"/>
    <w:rsid w:val="00074327"/>
    <w:rsid w:val="00075FB3"/>
    <w:rsid w:val="000802CA"/>
    <w:rsid w:val="00082619"/>
    <w:rsid w:val="00082B7A"/>
    <w:rsid w:val="000860F2"/>
    <w:rsid w:val="00091872"/>
    <w:rsid w:val="00091920"/>
    <w:rsid w:val="00096882"/>
    <w:rsid w:val="000969D3"/>
    <w:rsid w:val="000970DF"/>
    <w:rsid w:val="00097DC9"/>
    <w:rsid w:val="00097EAE"/>
    <w:rsid w:val="000A074C"/>
    <w:rsid w:val="000A0A9D"/>
    <w:rsid w:val="000A0F10"/>
    <w:rsid w:val="000A15E5"/>
    <w:rsid w:val="000A5B66"/>
    <w:rsid w:val="000A6D93"/>
    <w:rsid w:val="000B14DA"/>
    <w:rsid w:val="000B4917"/>
    <w:rsid w:val="000B7678"/>
    <w:rsid w:val="000B7DF4"/>
    <w:rsid w:val="000C0160"/>
    <w:rsid w:val="000C2CAE"/>
    <w:rsid w:val="000C2ED8"/>
    <w:rsid w:val="000C500D"/>
    <w:rsid w:val="000C6D15"/>
    <w:rsid w:val="000D1439"/>
    <w:rsid w:val="000D152F"/>
    <w:rsid w:val="000D3A2D"/>
    <w:rsid w:val="000D47C6"/>
    <w:rsid w:val="000E179A"/>
    <w:rsid w:val="000E1F74"/>
    <w:rsid w:val="000E73C9"/>
    <w:rsid w:val="000E7D94"/>
    <w:rsid w:val="000F133A"/>
    <w:rsid w:val="000F2342"/>
    <w:rsid w:val="000F2B99"/>
    <w:rsid w:val="000F456D"/>
    <w:rsid w:val="001029EC"/>
    <w:rsid w:val="001035CA"/>
    <w:rsid w:val="001040D6"/>
    <w:rsid w:val="00104A19"/>
    <w:rsid w:val="00111BA4"/>
    <w:rsid w:val="00112D15"/>
    <w:rsid w:val="001133FE"/>
    <w:rsid w:val="00115EA2"/>
    <w:rsid w:val="00121740"/>
    <w:rsid w:val="00121B39"/>
    <w:rsid w:val="001221A4"/>
    <w:rsid w:val="001225FC"/>
    <w:rsid w:val="0013049B"/>
    <w:rsid w:val="00131592"/>
    <w:rsid w:val="0013260D"/>
    <w:rsid w:val="00132BBD"/>
    <w:rsid w:val="00133CC3"/>
    <w:rsid w:val="001344B8"/>
    <w:rsid w:val="00140207"/>
    <w:rsid w:val="00140B4A"/>
    <w:rsid w:val="00141E1B"/>
    <w:rsid w:val="00142711"/>
    <w:rsid w:val="00144009"/>
    <w:rsid w:val="001444EB"/>
    <w:rsid w:val="00145CE3"/>
    <w:rsid w:val="001468E5"/>
    <w:rsid w:val="0015050B"/>
    <w:rsid w:val="0015153D"/>
    <w:rsid w:val="00153572"/>
    <w:rsid w:val="00153589"/>
    <w:rsid w:val="0015403F"/>
    <w:rsid w:val="00156270"/>
    <w:rsid w:val="00156DFD"/>
    <w:rsid w:val="0015739C"/>
    <w:rsid w:val="001610F6"/>
    <w:rsid w:val="001638EB"/>
    <w:rsid w:val="00163D1A"/>
    <w:rsid w:val="00165011"/>
    <w:rsid w:val="00165173"/>
    <w:rsid w:val="00170791"/>
    <w:rsid w:val="00174B59"/>
    <w:rsid w:val="00177BAB"/>
    <w:rsid w:val="0018267F"/>
    <w:rsid w:val="001848B2"/>
    <w:rsid w:val="001872FE"/>
    <w:rsid w:val="001873A6"/>
    <w:rsid w:val="001877B4"/>
    <w:rsid w:val="001902B4"/>
    <w:rsid w:val="00190305"/>
    <w:rsid w:val="001A02F7"/>
    <w:rsid w:val="001A0E85"/>
    <w:rsid w:val="001A13EC"/>
    <w:rsid w:val="001A4464"/>
    <w:rsid w:val="001A5D19"/>
    <w:rsid w:val="001A6975"/>
    <w:rsid w:val="001A7447"/>
    <w:rsid w:val="001B1C1E"/>
    <w:rsid w:val="001B3FA7"/>
    <w:rsid w:val="001C0D6C"/>
    <w:rsid w:val="001C0F8D"/>
    <w:rsid w:val="001C5CDD"/>
    <w:rsid w:val="001D0866"/>
    <w:rsid w:val="001D1AA2"/>
    <w:rsid w:val="001D2CB7"/>
    <w:rsid w:val="001D438B"/>
    <w:rsid w:val="001D6809"/>
    <w:rsid w:val="001D751D"/>
    <w:rsid w:val="001E0E00"/>
    <w:rsid w:val="001E2627"/>
    <w:rsid w:val="001E4C2D"/>
    <w:rsid w:val="001E564E"/>
    <w:rsid w:val="001E71BA"/>
    <w:rsid w:val="001F1B68"/>
    <w:rsid w:val="001F2B52"/>
    <w:rsid w:val="001F325F"/>
    <w:rsid w:val="001F4878"/>
    <w:rsid w:val="001F645B"/>
    <w:rsid w:val="001F70C3"/>
    <w:rsid w:val="0020366C"/>
    <w:rsid w:val="00203EFA"/>
    <w:rsid w:val="00204179"/>
    <w:rsid w:val="00205115"/>
    <w:rsid w:val="00206C2B"/>
    <w:rsid w:val="002076E5"/>
    <w:rsid w:val="0020790A"/>
    <w:rsid w:val="00207CCA"/>
    <w:rsid w:val="00210755"/>
    <w:rsid w:val="0021139C"/>
    <w:rsid w:val="00214CC8"/>
    <w:rsid w:val="00214DF4"/>
    <w:rsid w:val="00215B78"/>
    <w:rsid w:val="00216EBB"/>
    <w:rsid w:val="0022224F"/>
    <w:rsid w:val="00222520"/>
    <w:rsid w:val="00222F94"/>
    <w:rsid w:val="00223110"/>
    <w:rsid w:val="002241A5"/>
    <w:rsid w:val="00224464"/>
    <w:rsid w:val="00237195"/>
    <w:rsid w:val="00237E32"/>
    <w:rsid w:val="00241F77"/>
    <w:rsid w:val="00250406"/>
    <w:rsid w:val="00250893"/>
    <w:rsid w:val="00251C33"/>
    <w:rsid w:val="00251ECC"/>
    <w:rsid w:val="00252254"/>
    <w:rsid w:val="0025227C"/>
    <w:rsid w:val="00252325"/>
    <w:rsid w:val="00255851"/>
    <w:rsid w:val="00255DC1"/>
    <w:rsid w:val="002570F2"/>
    <w:rsid w:val="00265847"/>
    <w:rsid w:val="00265BB1"/>
    <w:rsid w:val="00266C2E"/>
    <w:rsid w:val="00266D21"/>
    <w:rsid w:val="00271786"/>
    <w:rsid w:val="00273D15"/>
    <w:rsid w:val="00277919"/>
    <w:rsid w:val="00277D05"/>
    <w:rsid w:val="00281711"/>
    <w:rsid w:val="00281E52"/>
    <w:rsid w:val="00283A26"/>
    <w:rsid w:val="00285171"/>
    <w:rsid w:val="002876F8"/>
    <w:rsid w:val="00287881"/>
    <w:rsid w:val="00290B0E"/>
    <w:rsid w:val="0029476D"/>
    <w:rsid w:val="0029515E"/>
    <w:rsid w:val="00295B8D"/>
    <w:rsid w:val="00295C56"/>
    <w:rsid w:val="00296492"/>
    <w:rsid w:val="00296607"/>
    <w:rsid w:val="002973E2"/>
    <w:rsid w:val="002A3452"/>
    <w:rsid w:val="002A6300"/>
    <w:rsid w:val="002A7AD7"/>
    <w:rsid w:val="002B5DA3"/>
    <w:rsid w:val="002B74F1"/>
    <w:rsid w:val="002C01AB"/>
    <w:rsid w:val="002C5D4B"/>
    <w:rsid w:val="002C741F"/>
    <w:rsid w:val="002D1A68"/>
    <w:rsid w:val="002D1E45"/>
    <w:rsid w:val="002D3317"/>
    <w:rsid w:val="002D3858"/>
    <w:rsid w:val="002D5AA5"/>
    <w:rsid w:val="002D5D2B"/>
    <w:rsid w:val="002D5F93"/>
    <w:rsid w:val="002D6C81"/>
    <w:rsid w:val="002D6EE1"/>
    <w:rsid w:val="002D71CF"/>
    <w:rsid w:val="002D7367"/>
    <w:rsid w:val="002E137C"/>
    <w:rsid w:val="002E1A32"/>
    <w:rsid w:val="002E2B8D"/>
    <w:rsid w:val="002E6BEE"/>
    <w:rsid w:val="002F0F98"/>
    <w:rsid w:val="002F1BD2"/>
    <w:rsid w:val="002F2711"/>
    <w:rsid w:val="002F3661"/>
    <w:rsid w:val="002F558C"/>
    <w:rsid w:val="002F5D4D"/>
    <w:rsid w:val="002F6067"/>
    <w:rsid w:val="002F736E"/>
    <w:rsid w:val="002F7DD1"/>
    <w:rsid w:val="00304B59"/>
    <w:rsid w:val="003050A2"/>
    <w:rsid w:val="00306000"/>
    <w:rsid w:val="003077FF"/>
    <w:rsid w:val="003100B1"/>
    <w:rsid w:val="00310388"/>
    <w:rsid w:val="00314452"/>
    <w:rsid w:val="00315FA1"/>
    <w:rsid w:val="00321190"/>
    <w:rsid w:val="00323A94"/>
    <w:rsid w:val="0032551F"/>
    <w:rsid w:val="0032609E"/>
    <w:rsid w:val="00334885"/>
    <w:rsid w:val="0033497C"/>
    <w:rsid w:val="00335092"/>
    <w:rsid w:val="0033669F"/>
    <w:rsid w:val="00336CE1"/>
    <w:rsid w:val="00336DCD"/>
    <w:rsid w:val="0033799E"/>
    <w:rsid w:val="003379F0"/>
    <w:rsid w:val="00344A75"/>
    <w:rsid w:val="00344C37"/>
    <w:rsid w:val="003450F4"/>
    <w:rsid w:val="0034574B"/>
    <w:rsid w:val="00350E3F"/>
    <w:rsid w:val="0035323A"/>
    <w:rsid w:val="00353EC8"/>
    <w:rsid w:val="003607D8"/>
    <w:rsid w:val="00360EAC"/>
    <w:rsid w:val="00364244"/>
    <w:rsid w:val="0036469E"/>
    <w:rsid w:val="00364D9A"/>
    <w:rsid w:val="00365D87"/>
    <w:rsid w:val="00372B70"/>
    <w:rsid w:val="0037346B"/>
    <w:rsid w:val="00376B21"/>
    <w:rsid w:val="00377216"/>
    <w:rsid w:val="00382E34"/>
    <w:rsid w:val="003878D2"/>
    <w:rsid w:val="00394632"/>
    <w:rsid w:val="00394740"/>
    <w:rsid w:val="003958C0"/>
    <w:rsid w:val="00395D15"/>
    <w:rsid w:val="0039745D"/>
    <w:rsid w:val="003A019E"/>
    <w:rsid w:val="003A3E8B"/>
    <w:rsid w:val="003A4F59"/>
    <w:rsid w:val="003A59CD"/>
    <w:rsid w:val="003A779C"/>
    <w:rsid w:val="003B0855"/>
    <w:rsid w:val="003B0CEF"/>
    <w:rsid w:val="003B2552"/>
    <w:rsid w:val="003B3308"/>
    <w:rsid w:val="003B7CFC"/>
    <w:rsid w:val="003B7F0C"/>
    <w:rsid w:val="003C5165"/>
    <w:rsid w:val="003C5CCB"/>
    <w:rsid w:val="003C6BE3"/>
    <w:rsid w:val="003D0E91"/>
    <w:rsid w:val="003D11C0"/>
    <w:rsid w:val="003D232A"/>
    <w:rsid w:val="003D28F2"/>
    <w:rsid w:val="003D4C6D"/>
    <w:rsid w:val="003D643E"/>
    <w:rsid w:val="003E269E"/>
    <w:rsid w:val="003E4148"/>
    <w:rsid w:val="003E42FA"/>
    <w:rsid w:val="003E7CA1"/>
    <w:rsid w:val="003F1CE2"/>
    <w:rsid w:val="003F4C00"/>
    <w:rsid w:val="003F4F46"/>
    <w:rsid w:val="003F4F97"/>
    <w:rsid w:val="003F5034"/>
    <w:rsid w:val="003F5BBE"/>
    <w:rsid w:val="003F6556"/>
    <w:rsid w:val="004026C5"/>
    <w:rsid w:val="00403D84"/>
    <w:rsid w:val="00417D03"/>
    <w:rsid w:val="00421DAC"/>
    <w:rsid w:val="004252A8"/>
    <w:rsid w:val="004266C9"/>
    <w:rsid w:val="00431590"/>
    <w:rsid w:val="00431624"/>
    <w:rsid w:val="00433DD6"/>
    <w:rsid w:val="00436181"/>
    <w:rsid w:val="0044141B"/>
    <w:rsid w:val="004432AE"/>
    <w:rsid w:val="004438AE"/>
    <w:rsid w:val="004440BE"/>
    <w:rsid w:val="00445F66"/>
    <w:rsid w:val="004525EB"/>
    <w:rsid w:val="00460D6A"/>
    <w:rsid w:val="00470950"/>
    <w:rsid w:val="004719D7"/>
    <w:rsid w:val="004721BC"/>
    <w:rsid w:val="00472FF8"/>
    <w:rsid w:val="0047357E"/>
    <w:rsid w:val="00474460"/>
    <w:rsid w:val="00475E91"/>
    <w:rsid w:val="00476FEC"/>
    <w:rsid w:val="00477A33"/>
    <w:rsid w:val="00485455"/>
    <w:rsid w:val="00485640"/>
    <w:rsid w:val="00490A22"/>
    <w:rsid w:val="00493A52"/>
    <w:rsid w:val="00496062"/>
    <w:rsid w:val="004960E7"/>
    <w:rsid w:val="004A00F2"/>
    <w:rsid w:val="004A405C"/>
    <w:rsid w:val="004A5381"/>
    <w:rsid w:val="004A55CF"/>
    <w:rsid w:val="004A7503"/>
    <w:rsid w:val="004B046D"/>
    <w:rsid w:val="004B4864"/>
    <w:rsid w:val="004B5D17"/>
    <w:rsid w:val="004B6389"/>
    <w:rsid w:val="004B7EE6"/>
    <w:rsid w:val="004C0826"/>
    <w:rsid w:val="004C0919"/>
    <w:rsid w:val="004C115B"/>
    <w:rsid w:val="004C373D"/>
    <w:rsid w:val="004C47C1"/>
    <w:rsid w:val="004C66D3"/>
    <w:rsid w:val="004D0AAD"/>
    <w:rsid w:val="004D1C9D"/>
    <w:rsid w:val="004D1D96"/>
    <w:rsid w:val="004E0E9F"/>
    <w:rsid w:val="004E1C18"/>
    <w:rsid w:val="004E6126"/>
    <w:rsid w:val="004E613A"/>
    <w:rsid w:val="004F0F56"/>
    <w:rsid w:val="004F2680"/>
    <w:rsid w:val="004F37AA"/>
    <w:rsid w:val="004F5853"/>
    <w:rsid w:val="004F7050"/>
    <w:rsid w:val="00503844"/>
    <w:rsid w:val="00504D3C"/>
    <w:rsid w:val="00504EBA"/>
    <w:rsid w:val="00505290"/>
    <w:rsid w:val="00507405"/>
    <w:rsid w:val="00510AFE"/>
    <w:rsid w:val="005116C4"/>
    <w:rsid w:val="00512EDE"/>
    <w:rsid w:val="00513A6E"/>
    <w:rsid w:val="0051422F"/>
    <w:rsid w:val="00516B50"/>
    <w:rsid w:val="00517087"/>
    <w:rsid w:val="00517495"/>
    <w:rsid w:val="00523430"/>
    <w:rsid w:val="00525473"/>
    <w:rsid w:val="005270A8"/>
    <w:rsid w:val="00532C8F"/>
    <w:rsid w:val="00535C08"/>
    <w:rsid w:val="00541222"/>
    <w:rsid w:val="00541C7A"/>
    <w:rsid w:val="00542C15"/>
    <w:rsid w:val="00551B05"/>
    <w:rsid w:val="00552ED1"/>
    <w:rsid w:val="005537AA"/>
    <w:rsid w:val="00554939"/>
    <w:rsid w:val="0055646A"/>
    <w:rsid w:val="00557012"/>
    <w:rsid w:val="00557509"/>
    <w:rsid w:val="0056287A"/>
    <w:rsid w:val="00562C7C"/>
    <w:rsid w:val="00562DAF"/>
    <w:rsid w:val="00563C44"/>
    <w:rsid w:val="00564E15"/>
    <w:rsid w:val="00571544"/>
    <w:rsid w:val="00571622"/>
    <w:rsid w:val="005726D7"/>
    <w:rsid w:val="00573FCE"/>
    <w:rsid w:val="00576065"/>
    <w:rsid w:val="00576802"/>
    <w:rsid w:val="00577B6F"/>
    <w:rsid w:val="005827ED"/>
    <w:rsid w:val="00583F79"/>
    <w:rsid w:val="00584D41"/>
    <w:rsid w:val="005858F4"/>
    <w:rsid w:val="005876D0"/>
    <w:rsid w:val="005924F3"/>
    <w:rsid w:val="005930FC"/>
    <w:rsid w:val="00597020"/>
    <w:rsid w:val="005A0787"/>
    <w:rsid w:val="005A123A"/>
    <w:rsid w:val="005A6128"/>
    <w:rsid w:val="005A7750"/>
    <w:rsid w:val="005B32FE"/>
    <w:rsid w:val="005B4E4E"/>
    <w:rsid w:val="005B5D08"/>
    <w:rsid w:val="005C1470"/>
    <w:rsid w:val="005C2B35"/>
    <w:rsid w:val="005C3F39"/>
    <w:rsid w:val="005C455F"/>
    <w:rsid w:val="005C66AE"/>
    <w:rsid w:val="005C70BC"/>
    <w:rsid w:val="005D2953"/>
    <w:rsid w:val="005D2DC1"/>
    <w:rsid w:val="005D4FBF"/>
    <w:rsid w:val="005D7DB6"/>
    <w:rsid w:val="005E33AB"/>
    <w:rsid w:val="005E34C7"/>
    <w:rsid w:val="005E7168"/>
    <w:rsid w:val="005F0718"/>
    <w:rsid w:val="005F130E"/>
    <w:rsid w:val="005F1515"/>
    <w:rsid w:val="005F254B"/>
    <w:rsid w:val="005F2C5B"/>
    <w:rsid w:val="005F300A"/>
    <w:rsid w:val="005F454B"/>
    <w:rsid w:val="005F45AE"/>
    <w:rsid w:val="005F4DFB"/>
    <w:rsid w:val="005F5097"/>
    <w:rsid w:val="005F605B"/>
    <w:rsid w:val="005F6382"/>
    <w:rsid w:val="00602041"/>
    <w:rsid w:val="00610536"/>
    <w:rsid w:val="00613990"/>
    <w:rsid w:val="00614EBB"/>
    <w:rsid w:val="006177BD"/>
    <w:rsid w:val="006217E4"/>
    <w:rsid w:val="00624129"/>
    <w:rsid w:val="00625AC5"/>
    <w:rsid w:val="00627E53"/>
    <w:rsid w:val="00633CEF"/>
    <w:rsid w:val="0063445D"/>
    <w:rsid w:val="00634E70"/>
    <w:rsid w:val="00635AAC"/>
    <w:rsid w:val="00637758"/>
    <w:rsid w:val="0064071C"/>
    <w:rsid w:val="00640A2B"/>
    <w:rsid w:val="00643A2F"/>
    <w:rsid w:val="006452A9"/>
    <w:rsid w:val="0064677F"/>
    <w:rsid w:val="0065033A"/>
    <w:rsid w:val="006504BC"/>
    <w:rsid w:val="006557E5"/>
    <w:rsid w:val="00657979"/>
    <w:rsid w:val="0066043B"/>
    <w:rsid w:val="00660DA2"/>
    <w:rsid w:val="006615D1"/>
    <w:rsid w:val="00662E39"/>
    <w:rsid w:val="0066723E"/>
    <w:rsid w:val="006676E3"/>
    <w:rsid w:val="00671C1D"/>
    <w:rsid w:val="00674F98"/>
    <w:rsid w:val="0067700F"/>
    <w:rsid w:val="006801DE"/>
    <w:rsid w:val="00682621"/>
    <w:rsid w:val="006833CD"/>
    <w:rsid w:val="0068448F"/>
    <w:rsid w:val="0068466C"/>
    <w:rsid w:val="0068495B"/>
    <w:rsid w:val="00685669"/>
    <w:rsid w:val="006879F7"/>
    <w:rsid w:val="00692240"/>
    <w:rsid w:val="00693728"/>
    <w:rsid w:val="00693925"/>
    <w:rsid w:val="00693B0A"/>
    <w:rsid w:val="006A3579"/>
    <w:rsid w:val="006A5F14"/>
    <w:rsid w:val="006A6C3D"/>
    <w:rsid w:val="006B16D3"/>
    <w:rsid w:val="006B16D8"/>
    <w:rsid w:val="006B2A9F"/>
    <w:rsid w:val="006B5304"/>
    <w:rsid w:val="006B5BA9"/>
    <w:rsid w:val="006B5EE9"/>
    <w:rsid w:val="006C05EC"/>
    <w:rsid w:val="006C3953"/>
    <w:rsid w:val="006C3D37"/>
    <w:rsid w:val="006C4290"/>
    <w:rsid w:val="006C56AD"/>
    <w:rsid w:val="006C5D94"/>
    <w:rsid w:val="006D4C23"/>
    <w:rsid w:val="006D50C3"/>
    <w:rsid w:val="006E1AB2"/>
    <w:rsid w:val="006E35DE"/>
    <w:rsid w:val="006E4952"/>
    <w:rsid w:val="006E4EB8"/>
    <w:rsid w:val="006E6300"/>
    <w:rsid w:val="006F18CF"/>
    <w:rsid w:val="006F2890"/>
    <w:rsid w:val="006F32B5"/>
    <w:rsid w:val="006F44BC"/>
    <w:rsid w:val="006F5A68"/>
    <w:rsid w:val="006F69F5"/>
    <w:rsid w:val="006F7E4D"/>
    <w:rsid w:val="007039BB"/>
    <w:rsid w:val="00706C6A"/>
    <w:rsid w:val="00707883"/>
    <w:rsid w:val="007119EE"/>
    <w:rsid w:val="00713107"/>
    <w:rsid w:val="00713389"/>
    <w:rsid w:val="0071463B"/>
    <w:rsid w:val="00716EBA"/>
    <w:rsid w:val="0072038D"/>
    <w:rsid w:val="00721C50"/>
    <w:rsid w:val="00723C66"/>
    <w:rsid w:val="00724828"/>
    <w:rsid w:val="00727B83"/>
    <w:rsid w:val="007340FB"/>
    <w:rsid w:val="00736029"/>
    <w:rsid w:val="00736721"/>
    <w:rsid w:val="00736B7D"/>
    <w:rsid w:val="00737B8C"/>
    <w:rsid w:val="0074373A"/>
    <w:rsid w:val="00743F5B"/>
    <w:rsid w:val="00745D79"/>
    <w:rsid w:val="0074636D"/>
    <w:rsid w:val="00746D21"/>
    <w:rsid w:val="00753E70"/>
    <w:rsid w:val="007562B6"/>
    <w:rsid w:val="0075746A"/>
    <w:rsid w:val="00757782"/>
    <w:rsid w:val="00760EF6"/>
    <w:rsid w:val="0076123B"/>
    <w:rsid w:val="00761417"/>
    <w:rsid w:val="007673E2"/>
    <w:rsid w:val="00770E41"/>
    <w:rsid w:val="007739C1"/>
    <w:rsid w:val="007747C6"/>
    <w:rsid w:val="00775435"/>
    <w:rsid w:val="00775645"/>
    <w:rsid w:val="00776796"/>
    <w:rsid w:val="007770C1"/>
    <w:rsid w:val="007776A0"/>
    <w:rsid w:val="0078060D"/>
    <w:rsid w:val="00782FD4"/>
    <w:rsid w:val="0078369F"/>
    <w:rsid w:val="00783E7C"/>
    <w:rsid w:val="00785BCC"/>
    <w:rsid w:val="00786899"/>
    <w:rsid w:val="00786E28"/>
    <w:rsid w:val="00787872"/>
    <w:rsid w:val="0079026B"/>
    <w:rsid w:val="00792FE0"/>
    <w:rsid w:val="00793357"/>
    <w:rsid w:val="007959C2"/>
    <w:rsid w:val="00796BF3"/>
    <w:rsid w:val="007A30B0"/>
    <w:rsid w:val="007A4427"/>
    <w:rsid w:val="007A5905"/>
    <w:rsid w:val="007A6A2B"/>
    <w:rsid w:val="007A76BA"/>
    <w:rsid w:val="007A7A09"/>
    <w:rsid w:val="007A7BA0"/>
    <w:rsid w:val="007C2E29"/>
    <w:rsid w:val="007C7C06"/>
    <w:rsid w:val="007C7D70"/>
    <w:rsid w:val="007D2014"/>
    <w:rsid w:val="007D2B81"/>
    <w:rsid w:val="007D2E71"/>
    <w:rsid w:val="007D3A7E"/>
    <w:rsid w:val="007D4551"/>
    <w:rsid w:val="007D5647"/>
    <w:rsid w:val="007D6F4F"/>
    <w:rsid w:val="007D7A69"/>
    <w:rsid w:val="007E08B5"/>
    <w:rsid w:val="007E3543"/>
    <w:rsid w:val="007E3B46"/>
    <w:rsid w:val="007E4EA8"/>
    <w:rsid w:val="007E5CEE"/>
    <w:rsid w:val="007F0224"/>
    <w:rsid w:val="007F6B74"/>
    <w:rsid w:val="007F7396"/>
    <w:rsid w:val="00806D33"/>
    <w:rsid w:val="008070FF"/>
    <w:rsid w:val="00812C09"/>
    <w:rsid w:val="00813B37"/>
    <w:rsid w:val="00816FA4"/>
    <w:rsid w:val="008231CD"/>
    <w:rsid w:val="00823D4C"/>
    <w:rsid w:val="00824ED3"/>
    <w:rsid w:val="00825812"/>
    <w:rsid w:val="00825B0F"/>
    <w:rsid w:val="008270DB"/>
    <w:rsid w:val="00831571"/>
    <w:rsid w:val="00831ACA"/>
    <w:rsid w:val="00832819"/>
    <w:rsid w:val="00832EC9"/>
    <w:rsid w:val="008350B3"/>
    <w:rsid w:val="008354F1"/>
    <w:rsid w:val="00835F26"/>
    <w:rsid w:val="0083706A"/>
    <w:rsid w:val="00842015"/>
    <w:rsid w:val="00843CC7"/>
    <w:rsid w:val="00843E28"/>
    <w:rsid w:val="00844E16"/>
    <w:rsid w:val="00845FE9"/>
    <w:rsid w:val="00851EB5"/>
    <w:rsid w:val="00854AC6"/>
    <w:rsid w:val="0085586F"/>
    <w:rsid w:val="00860691"/>
    <w:rsid w:val="008639BB"/>
    <w:rsid w:val="00864CE3"/>
    <w:rsid w:val="008658AA"/>
    <w:rsid w:val="00872D64"/>
    <w:rsid w:val="00872D7E"/>
    <w:rsid w:val="00872E13"/>
    <w:rsid w:val="00873A4D"/>
    <w:rsid w:val="00873F64"/>
    <w:rsid w:val="00874896"/>
    <w:rsid w:val="0088027B"/>
    <w:rsid w:val="00881779"/>
    <w:rsid w:val="00883172"/>
    <w:rsid w:val="008839EC"/>
    <w:rsid w:val="00884CCE"/>
    <w:rsid w:val="00886C2B"/>
    <w:rsid w:val="008A0717"/>
    <w:rsid w:val="008A0B47"/>
    <w:rsid w:val="008A0F51"/>
    <w:rsid w:val="008A1309"/>
    <w:rsid w:val="008A3DF0"/>
    <w:rsid w:val="008A4387"/>
    <w:rsid w:val="008A4440"/>
    <w:rsid w:val="008A46A7"/>
    <w:rsid w:val="008A55E0"/>
    <w:rsid w:val="008A699D"/>
    <w:rsid w:val="008A754C"/>
    <w:rsid w:val="008B0DAB"/>
    <w:rsid w:val="008B13A2"/>
    <w:rsid w:val="008B3503"/>
    <w:rsid w:val="008B4278"/>
    <w:rsid w:val="008B55EE"/>
    <w:rsid w:val="008B569E"/>
    <w:rsid w:val="008B6F7C"/>
    <w:rsid w:val="008C43E4"/>
    <w:rsid w:val="008C4527"/>
    <w:rsid w:val="008C59F7"/>
    <w:rsid w:val="008C6B51"/>
    <w:rsid w:val="008C718C"/>
    <w:rsid w:val="008C7B48"/>
    <w:rsid w:val="008D2B62"/>
    <w:rsid w:val="008D70FB"/>
    <w:rsid w:val="008E2EA6"/>
    <w:rsid w:val="008E38BD"/>
    <w:rsid w:val="008E6AE8"/>
    <w:rsid w:val="008E6EC5"/>
    <w:rsid w:val="008E74AE"/>
    <w:rsid w:val="008E7D4D"/>
    <w:rsid w:val="008F09EF"/>
    <w:rsid w:val="008F2A4E"/>
    <w:rsid w:val="008F2CD2"/>
    <w:rsid w:val="008F3EFC"/>
    <w:rsid w:val="008F47D2"/>
    <w:rsid w:val="008F4FCC"/>
    <w:rsid w:val="008F6A2A"/>
    <w:rsid w:val="0090427B"/>
    <w:rsid w:val="00904389"/>
    <w:rsid w:val="00904BF2"/>
    <w:rsid w:val="00906D9E"/>
    <w:rsid w:val="00911FB1"/>
    <w:rsid w:val="00912126"/>
    <w:rsid w:val="009131A9"/>
    <w:rsid w:val="009158C6"/>
    <w:rsid w:val="00915E2A"/>
    <w:rsid w:val="00921660"/>
    <w:rsid w:val="00921A9A"/>
    <w:rsid w:val="009229D3"/>
    <w:rsid w:val="00922A7E"/>
    <w:rsid w:val="00922E6D"/>
    <w:rsid w:val="009240D3"/>
    <w:rsid w:val="0092457F"/>
    <w:rsid w:val="009246DA"/>
    <w:rsid w:val="00926862"/>
    <w:rsid w:val="00926ED2"/>
    <w:rsid w:val="00930A29"/>
    <w:rsid w:val="0093308D"/>
    <w:rsid w:val="00933413"/>
    <w:rsid w:val="0093349C"/>
    <w:rsid w:val="00933A95"/>
    <w:rsid w:val="009345DD"/>
    <w:rsid w:val="0093648B"/>
    <w:rsid w:val="00936840"/>
    <w:rsid w:val="00941412"/>
    <w:rsid w:val="009428A5"/>
    <w:rsid w:val="00942CBD"/>
    <w:rsid w:val="00942DD3"/>
    <w:rsid w:val="00944DF3"/>
    <w:rsid w:val="00947035"/>
    <w:rsid w:val="00950BC2"/>
    <w:rsid w:val="00953081"/>
    <w:rsid w:val="00953507"/>
    <w:rsid w:val="00956688"/>
    <w:rsid w:val="00957844"/>
    <w:rsid w:val="00960624"/>
    <w:rsid w:val="009642B4"/>
    <w:rsid w:val="00964F6D"/>
    <w:rsid w:val="009655C7"/>
    <w:rsid w:val="009667CF"/>
    <w:rsid w:val="0096740A"/>
    <w:rsid w:val="00967449"/>
    <w:rsid w:val="0097188F"/>
    <w:rsid w:val="00972E19"/>
    <w:rsid w:val="00974CBC"/>
    <w:rsid w:val="0097690C"/>
    <w:rsid w:val="009812EE"/>
    <w:rsid w:val="0098292A"/>
    <w:rsid w:val="0099070F"/>
    <w:rsid w:val="00991A1E"/>
    <w:rsid w:val="00991D52"/>
    <w:rsid w:val="0099318E"/>
    <w:rsid w:val="009938DF"/>
    <w:rsid w:val="009967F3"/>
    <w:rsid w:val="00997558"/>
    <w:rsid w:val="009A3C81"/>
    <w:rsid w:val="009A44B8"/>
    <w:rsid w:val="009A729A"/>
    <w:rsid w:val="009A7EFF"/>
    <w:rsid w:val="009B145A"/>
    <w:rsid w:val="009C23DE"/>
    <w:rsid w:val="009C36C1"/>
    <w:rsid w:val="009C7030"/>
    <w:rsid w:val="009C7253"/>
    <w:rsid w:val="009D04DA"/>
    <w:rsid w:val="009D143E"/>
    <w:rsid w:val="009D2766"/>
    <w:rsid w:val="009D4B8C"/>
    <w:rsid w:val="009D52C4"/>
    <w:rsid w:val="009D627F"/>
    <w:rsid w:val="009D7FA0"/>
    <w:rsid w:val="009E143F"/>
    <w:rsid w:val="009E2201"/>
    <w:rsid w:val="009E2E89"/>
    <w:rsid w:val="009E6308"/>
    <w:rsid w:val="009F42D3"/>
    <w:rsid w:val="009F6481"/>
    <w:rsid w:val="00A0104C"/>
    <w:rsid w:val="00A03530"/>
    <w:rsid w:val="00A03E64"/>
    <w:rsid w:val="00A03F13"/>
    <w:rsid w:val="00A04A4F"/>
    <w:rsid w:val="00A053E2"/>
    <w:rsid w:val="00A06A34"/>
    <w:rsid w:val="00A06E49"/>
    <w:rsid w:val="00A07585"/>
    <w:rsid w:val="00A10249"/>
    <w:rsid w:val="00A111E9"/>
    <w:rsid w:val="00A11554"/>
    <w:rsid w:val="00A117B3"/>
    <w:rsid w:val="00A11847"/>
    <w:rsid w:val="00A12E30"/>
    <w:rsid w:val="00A138FF"/>
    <w:rsid w:val="00A20305"/>
    <w:rsid w:val="00A20B11"/>
    <w:rsid w:val="00A229E8"/>
    <w:rsid w:val="00A24A0C"/>
    <w:rsid w:val="00A25D20"/>
    <w:rsid w:val="00A26012"/>
    <w:rsid w:val="00A27BEE"/>
    <w:rsid w:val="00A30A68"/>
    <w:rsid w:val="00A32B11"/>
    <w:rsid w:val="00A32DCA"/>
    <w:rsid w:val="00A34FAA"/>
    <w:rsid w:val="00A35354"/>
    <w:rsid w:val="00A36F60"/>
    <w:rsid w:val="00A41318"/>
    <w:rsid w:val="00A4589D"/>
    <w:rsid w:val="00A46D3F"/>
    <w:rsid w:val="00A47778"/>
    <w:rsid w:val="00A52F82"/>
    <w:rsid w:val="00A55E53"/>
    <w:rsid w:val="00A569E2"/>
    <w:rsid w:val="00A571FB"/>
    <w:rsid w:val="00A60931"/>
    <w:rsid w:val="00A614DA"/>
    <w:rsid w:val="00A61A9A"/>
    <w:rsid w:val="00A653DF"/>
    <w:rsid w:val="00A71481"/>
    <w:rsid w:val="00A7195A"/>
    <w:rsid w:val="00A727FC"/>
    <w:rsid w:val="00A73937"/>
    <w:rsid w:val="00A74989"/>
    <w:rsid w:val="00A76DEE"/>
    <w:rsid w:val="00A7734F"/>
    <w:rsid w:val="00A77456"/>
    <w:rsid w:val="00A815A7"/>
    <w:rsid w:val="00A86591"/>
    <w:rsid w:val="00A91618"/>
    <w:rsid w:val="00A9444A"/>
    <w:rsid w:val="00AA03B9"/>
    <w:rsid w:val="00AA0EA3"/>
    <w:rsid w:val="00AA1889"/>
    <w:rsid w:val="00AA33E5"/>
    <w:rsid w:val="00AA58FD"/>
    <w:rsid w:val="00AA62EE"/>
    <w:rsid w:val="00AA7754"/>
    <w:rsid w:val="00AB4252"/>
    <w:rsid w:val="00AB7040"/>
    <w:rsid w:val="00AB7414"/>
    <w:rsid w:val="00AC1929"/>
    <w:rsid w:val="00AC1BE2"/>
    <w:rsid w:val="00AC2E6A"/>
    <w:rsid w:val="00AC4CDE"/>
    <w:rsid w:val="00AD1899"/>
    <w:rsid w:val="00AD3B2F"/>
    <w:rsid w:val="00AD45AD"/>
    <w:rsid w:val="00AD5724"/>
    <w:rsid w:val="00AD650E"/>
    <w:rsid w:val="00AD77B0"/>
    <w:rsid w:val="00AE1A8F"/>
    <w:rsid w:val="00AE3B8F"/>
    <w:rsid w:val="00AE5C34"/>
    <w:rsid w:val="00AE705F"/>
    <w:rsid w:val="00AF2AD2"/>
    <w:rsid w:val="00AF3927"/>
    <w:rsid w:val="00B07A4A"/>
    <w:rsid w:val="00B10FB6"/>
    <w:rsid w:val="00B1260F"/>
    <w:rsid w:val="00B13106"/>
    <w:rsid w:val="00B15709"/>
    <w:rsid w:val="00B16C3A"/>
    <w:rsid w:val="00B17715"/>
    <w:rsid w:val="00B17BBD"/>
    <w:rsid w:val="00B213DF"/>
    <w:rsid w:val="00B2169C"/>
    <w:rsid w:val="00B22C39"/>
    <w:rsid w:val="00B239A1"/>
    <w:rsid w:val="00B23B85"/>
    <w:rsid w:val="00B24BC2"/>
    <w:rsid w:val="00B25464"/>
    <w:rsid w:val="00B26A08"/>
    <w:rsid w:val="00B2760B"/>
    <w:rsid w:val="00B30201"/>
    <w:rsid w:val="00B3224F"/>
    <w:rsid w:val="00B32644"/>
    <w:rsid w:val="00B33B9B"/>
    <w:rsid w:val="00B33C0C"/>
    <w:rsid w:val="00B37E69"/>
    <w:rsid w:val="00B40253"/>
    <w:rsid w:val="00B40473"/>
    <w:rsid w:val="00B42577"/>
    <w:rsid w:val="00B44EA3"/>
    <w:rsid w:val="00B537D5"/>
    <w:rsid w:val="00B554AB"/>
    <w:rsid w:val="00B562E0"/>
    <w:rsid w:val="00B62594"/>
    <w:rsid w:val="00B63D17"/>
    <w:rsid w:val="00B64402"/>
    <w:rsid w:val="00B653B1"/>
    <w:rsid w:val="00B661A3"/>
    <w:rsid w:val="00B6650E"/>
    <w:rsid w:val="00B67B99"/>
    <w:rsid w:val="00B712E8"/>
    <w:rsid w:val="00B72AD3"/>
    <w:rsid w:val="00B73389"/>
    <w:rsid w:val="00B73952"/>
    <w:rsid w:val="00B81E40"/>
    <w:rsid w:val="00B83664"/>
    <w:rsid w:val="00B84BA4"/>
    <w:rsid w:val="00B86497"/>
    <w:rsid w:val="00B91748"/>
    <w:rsid w:val="00B92188"/>
    <w:rsid w:val="00B92492"/>
    <w:rsid w:val="00B97E44"/>
    <w:rsid w:val="00BA6F71"/>
    <w:rsid w:val="00BB025C"/>
    <w:rsid w:val="00BB2894"/>
    <w:rsid w:val="00BB2D8B"/>
    <w:rsid w:val="00BB49D5"/>
    <w:rsid w:val="00BC2652"/>
    <w:rsid w:val="00BC2CB6"/>
    <w:rsid w:val="00BC4EBC"/>
    <w:rsid w:val="00BC583F"/>
    <w:rsid w:val="00BD2CAF"/>
    <w:rsid w:val="00BD4DBB"/>
    <w:rsid w:val="00BD5296"/>
    <w:rsid w:val="00BD65CC"/>
    <w:rsid w:val="00BD6929"/>
    <w:rsid w:val="00BE28B2"/>
    <w:rsid w:val="00BE40ED"/>
    <w:rsid w:val="00BE55D5"/>
    <w:rsid w:val="00BE6B95"/>
    <w:rsid w:val="00BF276B"/>
    <w:rsid w:val="00BF4269"/>
    <w:rsid w:val="00BF4FCD"/>
    <w:rsid w:val="00BF5DE2"/>
    <w:rsid w:val="00BF6687"/>
    <w:rsid w:val="00C00CFC"/>
    <w:rsid w:val="00C010FF"/>
    <w:rsid w:val="00C0199A"/>
    <w:rsid w:val="00C027A9"/>
    <w:rsid w:val="00C03CD6"/>
    <w:rsid w:val="00C06520"/>
    <w:rsid w:val="00C07B24"/>
    <w:rsid w:val="00C1066F"/>
    <w:rsid w:val="00C10DEB"/>
    <w:rsid w:val="00C16D65"/>
    <w:rsid w:val="00C1751C"/>
    <w:rsid w:val="00C20EA1"/>
    <w:rsid w:val="00C2117A"/>
    <w:rsid w:val="00C2202E"/>
    <w:rsid w:val="00C23103"/>
    <w:rsid w:val="00C24432"/>
    <w:rsid w:val="00C33E38"/>
    <w:rsid w:val="00C35CA2"/>
    <w:rsid w:val="00C40402"/>
    <w:rsid w:val="00C43E38"/>
    <w:rsid w:val="00C44A81"/>
    <w:rsid w:val="00C51B21"/>
    <w:rsid w:val="00C5226D"/>
    <w:rsid w:val="00C552C8"/>
    <w:rsid w:val="00C56081"/>
    <w:rsid w:val="00C60E0C"/>
    <w:rsid w:val="00C623B7"/>
    <w:rsid w:val="00C62659"/>
    <w:rsid w:val="00C66389"/>
    <w:rsid w:val="00C66EB0"/>
    <w:rsid w:val="00C71244"/>
    <w:rsid w:val="00C71B67"/>
    <w:rsid w:val="00C720E0"/>
    <w:rsid w:val="00C72C5E"/>
    <w:rsid w:val="00C752DD"/>
    <w:rsid w:val="00C75801"/>
    <w:rsid w:val="00C76569"/>
    <w:rsid w:val="00C80A85"/>
    <w:rsid w:val="00C820AF"/>
    <w:rsid w:val="00C875B2"/>
    <w:rsid w:val="00C91722"/>
    <w:rsid w:val="00C91F46"/>
    <w:rsid w:val="00C93DC3"/>
    <w:rsid w:val="00C96ABA"/>
    <w:rsid w:val="00CA4256"/>
    <w:rsid w:val="00CA468B"/>
    <w:rsid w:val="00CA7864"/>
    <w:rsid w:val="00CB0123"/>
    <w:rsid w:val="00CB1D8E"/>
    <w:rsid w:val="00CB4BBA"/>
    <w:rsid w:val="00CC1436"/>
    <w:rsid w:val="00CC6244"/>
    <w:rsid w:val="00CD0D2A"/>
    <w:rsid w:val="00CD21B4"/>
    <w:rsid w:val="00CD7F17"/>
    <w:rsid w:val="00CE08A0"/>
    <w:rsid w:val="00CE0D47"/>
    <w:rsid w:val="00CE36B2"/>
    <w:rsid w:val="00CE49F5"/>
    <w:rsid w:val="00CF1BBD"/>
    <w:rsid w:val="00CF66A6"/>
    <w:rsid w:val="00CF6D36"/>
    <w:rsid w:val="00D00A69"/>
    <w:rsid w:val="00D03400"/>
    <w:rsid w:val="00D03DFE"/>
    <w:rsid w:val="00D0516E"/>
    <w:rsid w:val="00D064D5"/>
    <w:rsid w:val="00D11CD3"/>
    <w:rsid w:val="00D13D3E"/>
    <w:rsid w:val="00D151F1"/>
    <w:rsid w:val="00D15375"/>
    <w:rsid w:val="00D15B66"/>
    <w:rsid w:val="00D16B6B"/>
    <w:rsid w:val="00D21C9B"/>
    <w:rsid w:val="00D22307"/>
    <w:rsid w:val="00D24285"/>
    <w:rsid w:val="00D275DA"/>
    <w:rsid w:val="00D3041D"/>
    <w:rsid w:val="00D30B55"/>
    <w:rsid w:val="00D30D05"/>
    <w:rsid w:val="00D30DE4"/>
    <w:rsid w:val="00D35079"/>
    <w:rsid w:val="00D36877"/>
    <w:rsid w:val="00D40275"/>
    <w:rsid w:val="00D407BA"/>
    <w:rsid w:val="00D43C93"/>
    <w:rsid w:val="00D45380"/>
    <w:rsid w:val="00D45DA0"/>
    <w:rsid w:val="00D465D3"/>
    <w:rsid w:val="00D4734B"/>
    <w:rsid w:val="00D47B62"/>
    <w:rsid w:val="00D50AF0"/>
    <w:rsid w:val="00D51768"/>
    <w:rsid w:val="00D53CDB"/>
    <w:rsid w:val="00D54412"/>
    <w:rsid w:val="00D55058"/>
    <w:rsid w:val="00D57A49"/>
    <w:rsid w:val="00D57C39"/>
    <w:rsid w:val="00D60DAB"/>
    <w:rsid w:val="00D631D0"/>
    <w:rsid w:val="00D635E8"/>
    <w:rsid w:val="00D648CB"/>
    <w:rsid w:val="00D6755A"/>
    <w:rsid w:val="00D720E5"/>
    <w:rsid w:val="00D74BE2"/>
    <w:rsid w:val="00D766DF"/>
    <w:rsid w:val="00D825BA"/>
    <w:rsid w:val="00D83374"/>
    <w:rsid w:val="00D841A2"/>
    <w:rsid w:val="00D85EA6"/>
    <w:rsid w:val="00D86EAE"/>
    <w:rsid w:val="00D875B7"/>
    <w:rsid w:val="00D90906"/>
    <w:rsid w:val="00D90D3A"/>
    <w:rsid w:val="00D927A4"/>
    <w:rsid w:val="00D937BF"/>
    <w:rsid w:val="00D94AB4"/>
    <w:rsid w:val="00D97B9A"/>
    <w:rsid w:val="00DA1D64"/>
    <w:rsid w:val="00DA1F32"/>
    <w:rsid w:val="00DA482A"/>
    <w:rsid w:val="00DA5412"/>
    <w:rsid w:val="00DA5647"/>
    <w:rsid w:val="00DA5C14"/>
    <w:rsid w:val="00DA698C"/>
    <w:rsid w:val="00DB4530"/>
    <w:rsid w:val="00DB5900"/>
    <w:rsid w:val="00DB5CF4"/>
    <w:rsid w:val="00DB68BC"/>
    <w:rsid w:val="00DC0988"/>
    <w:rsid w:val="00DC1D86"/>
    <w:rsid w:val="00DC1E93"/>
    <w:rsid w:val="00DC1FA6"/>
    <w:rsid w:val="00DC300B"/>
    <w:rsid w:val="00DC343D"/>
    <w:rsid w:val="00DC5FFE"/>
    <w:rsid w:val="00DC7D10"/>
    <w:rsid w:val="00DC7F80"/>
    <w:rsid w:val="00DD1DA7"/>
    <w:rsid w:val="00DD21A4"/>
    <w:rsid w:val="00DD254D"/>
    <w:rsid w:val="00DD26B3"/>
    <w:rsid w:val="00DD357D"/>
    <w:rsid w:val="00DD44D1"/>
    <w:rsid w:val="00DD4F00"/>
    <w:rsid w:val="00DE0979"/>
    <w:rsid w:val="00DE335E"/>
    <w:rsid w:val="00DE3AF5"/>
    <w:rsid w:val="00DF1413"/>
    <w:rsid w:val="00DF265E"/>
    <w:rsid w:val="00DF4520"/>
    <w:rsid w:val="00DF67A7"/>
    <w:rsid w:val="00E048BB"/>
    <w:rsid w:val="00E05669"/>
    <w:rsid w:val="00E075A7"/>
    <w:rsid w:val="00E1167C"/>
    <w:rsid w:val="00E137F7"/>
    <w:rsid w:val="00E218E4"/>
    <w:rsid w:val="00E22527"/>
    <w:rsid w:val="00E22813"/>
    <w:rsid w:val="00E24936"/>
    <w:rsid w:val="00E25D05"/>
    <w:rsid w:val="00E27A3B"/>
    <w:rsid w:val="00E303F2"/>
    <w:rsid w:val="00E30BAC"/>
    <w:rsid w:val="00E337DD"/>
    <w:rsid w:val="00E35A6B"/>
    <w:rsid w:val="00E35EFC"/>
    <w:rsid w:val="00E401C5"/>
    <w:rsid w:val="00E41E29"/>
    <w:rsid w:val="00E428AE"/>
    <w:rsid w:val="00E45517"/>
    <w:rsid w:val="00E46A77"/>
    <w:rsid w:val="00E47038"/>
    <w:rsid w:val="00E47FA2"/>
    <w:rsid w:val="00E5005C"/>
    <w:rsid w:val="00E52FA8"/>
    <w:rsid w:val="00E54ED1"/>
    <w:rsid w:val="00E55371"/>
    <w:rsid w:val="00E575F5"/>
    <w:rsid w:val="00E5780E"/>
    <w:rsid w:val="00E60656"/>
    <w:rsid w:val="00E6224C"/>
    <w:rsid w:val="00E62347"/>
    <w:rsid w:val="00E62E0B"/>
    <w:rsid w:val="00E636DA"/>
    <w:rsid w:val="00E63ECB"/>
    <w:rsid w:val="00E66278"/>
    <w:rsid w:val="00E71343"/>
    <w:rsid w:val="00E72D0A"/>
    <w:rsid w:val="00E742F5"/>
    <w:rsid w:val="00E7523B"/>
    <w:rsid w:val="00E77AD4"/>
    <w:rsid w:val="00E833D0"/>
    <w:rsid w:val="00E83B07"/>
    <w:rsid w:val="00E84124"/>
    <w:rsid w:val="00E84AA1"/>
    <w:rsid w:val="00E85D4D"/>
    <w:rsid w:val="00E90F95"/>
    <w:rsid w:val="00E91D9B"/>
    <w:rsid w:val="00E91EAB"/>
    <w:rsid w:val="00E92D7E"/>
    <w:rsid w:val="00E93742"/>
    <w:rsid w:val="00E95E86"/>
    <w:rsid w:val="00E96057"/>
    <w:rsid w:val="00EA36CB"/>
    <w:rsid w:val="00EB09A2"/>
    <w:rsid w:val="00EB5162"/>
    <w:rsid w:val="00EB651E"/>
    <w:rsid w:val="00EB6775"/>
    <w:rsid w:val="00EC2E44"/>
    <w:rsid w:val="00EC6D02"/>
    <w:rsid w:val="00ED2CC7"/>
    <w:rsid w:val="00ED36C7"/>
    <w:rsid w:val="00ED45A1"/>
    <w:rsid w:val="00ED762C"/>
    <w:rsid w:val="00EE13EA"/>
    <w:rsid w:val="00EE394B"/>
    <w:rsid w:val="00EF0639"/>
    <w:rsid w:val="00EF08B4"/>
    <w:rsid w:val="00EF09E5"/>
    <w:rsid w:val="00F002D4"/>
    <w:rsid w:val="00F01A9B"/>
    <w:rsid w:val="00F03CA3"/>
    <w:rsid w:val="00F04298"/>
    <w:rsid w:val="00F06436"/>
    <w:rsid w:val="00F06E99"/>
    <w:rsid w:val="00F07DF5"/>
    <w:rsid w:val="00F11088"/>
    <w:rsid w:val="00F11488"/>
    <w:rsid w:val="00F128E1"/>
    <w:rsid w:val="00F14E5C"/>
    <w:rsid w:val="00F15F77"/>
    <w:rsid w:val="00F16BF9"/>
    <w:rsid w:val="00F1763A"/>
    <w:rsid w:val="00F21F8F"/>
    <w:rsid w:val="00F342EF"/>
    <w:rsid w:val="00F34538"/>
    <w:rsid w:val="00F4346C"/>
    <w:rsid w:val="00F4405C"/>
    <w:rsid w:val="00F46EE0"/>
    <w:rsid w:val="00F50023"/>
    <w:rsid w:val="00F50408"/>
    <w:rsid w:val="00F51445"/>
    <w:rsid w:val="00F53805"/>
    <w:rsid w:val="00F5630E"/>
    <w:rsid w:val="00F61407"/>
    <w:rsid w:val="00F62A3B"/>
    <w:rsid w:val="00F62B1E"/>
    <w:rsid w:val="00F63DBA"/>
    <w:rsid w:val="00F64B00"/>
    <w:rsid w:val="00F66CF8"/>
    <w:rsid w:val="00F67C3F"/>
    <w:rsid w:val="00F702FA"/>
    <w:rsid w:val="00F75761"/>
    <w:rsid w:val="00F75886"/>
    <w:rsid w:val="00F769C1"/>
    <w:rsid w:val="00F82BC8"/>
    <w:rsid w:val="00F84D8F"/>
    <w:rsid w:val="00F90115"/>
    <w:rsid w:val="00F90922"/>
    <w:rsid w:val="00F938E0"/>
    <w:rsid w:val="00F93C54"/>
    <w:rsid w:val="00F948AF"/>
    <w:rsid w:val="00F971A6"/>
    <w:rsid w:val="00FA2229"/>
    <w:rsid w:val="00FA23DC"/>
    <w:rsid w:val="00FA26B3"/>
    <w:rsid w:val="00FA3398"/>
    <w:rsid w:val="00FA361C"/>
    <w:rsid w:val="00FB0C8B"/>
    <w:rsid w:val="00FB246E"/>
    <w:rsid w:val="00FB4700"/>
    <w:rsid w:val="00FB6EE1"/>
    <w:rsid w:val="00FB75AB"/>
    <w:rsid w:val="00FC01D0"/>
    <w:rsid w:val="00FC12CC"/>
    <w:rsid w:val="00FC241B"/>
    <w:rsid w:val="00FC383C"/>
    <w:rsid w:val="00FC3A94"/>
    <w:rsid w:val="00FC4C7A"/>
    <w:rsid w:val="00FC4FE4"/>
    <w:rsid w:val="00FC51AF"/>
    <w:rsid w:val="00FC584A"/>
    <w:rsid w:val="00FD09EE"/>
    <w:rsid w:val="00FD0AA8"/>
    <w:rsid w:val="00FD13D2"/>
    <w:rsid w:val="00FD3B73"/>
    <w:rsid w:val="00FD4B5B"/>
    <w:rsid w:val="00FD7645"/>
    <w:rsid w:val="00FE3308"/>
    <w:rsid w:val="00FE36CB"/>
    <w:rsid w:val="00FE5EA6"/>
    <w:rsid w:val="00FE66B0"/>
    <w:rsid w:val="00FF07EB"/>
    <w:rsid w:val="00FF565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4A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36DCD"/>
    <w:rPr>
      <w:rFonts w:ascii="Book Antiqua" w:hAnsi="Book Antiqua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36DCD"/>
    <w:rPr>
      <w:rFonts w:cs="Times New Roman"/>
      <w:color w:val="0000FF"/>
      <w:u w:val="single"/>
    </w:rPr>
  </w:style>
  <w:style w:type="paragraph" w:customStyle="1" w:styleId="Anrede">
    <w:name w:val="_Anrede"/>
    <w:basedOn w:val="Text"/>
    <w:rsid w:val="00336DCD"/>
    <w:pPr>
      <w:spacing w:after="0"/>
    </w:pPr>
  </w:style>
  <w:style w:type="paragraph" w:customStyle="1" w:styleId="Text">
    <w:name w:val="Text"/>
    <w:basedOn w:val="Standard"/>
    <w:rsid w:val="00336DCD"/>
    <w:pPr>
      <w:spacing w:after="280"/>
    </w:pPr>
    <w:rPr>
      <w:sz w:val="22"/>
    </w:rPr>
  </w:style>
  <w:style w:type="paragraph" w:customStyle="1" w:styleId="Betreff">
    <w:name w:val="Betreff"/>
    <w:basedOn w:val="Text"/>
    <w:rsid w:val="00336DCD"/>
    <w:pPr>
      <w:spacing w:after="0"/>
    </w:pPr>
    <w:rPr>
      <w:b/>
    </w:rPr>
  </w:style>
  <w:style w:type="paragraph" w:customStyle="1" w:styleId="KontaktBezeichner">
    <w:name w:val="KontaktBezeichner"/>
    <w:basedOn w:val="Text"/>
    <w:rsid w:val="00336DCD"/>
    <w:pPr>
      <w:spacing w:after="0"/>
    </w:pPr>
    <w:rPr>
      <w:sz w:val="16"/>
    </w:rPr>
  </w:style>
  <w:style w:type="paragraph" w:customStyle="1" w:styleId="Absenderadresse">
    <w:name w:val="Absenderadresse"/>
    <w:basedOn w:val="Text"/>
    <w:rsid w:val="00336DCD"/>
    <w:pPr>
      <w:spacing w:after="0"/>
    </w:pPr>
    <w:rPr>
      <w:sz w:val="12"/>
    </w:rPr>
  </w:style>
  <w:style w:type="paragraph" w:customStyle="1" w:styleId="Textabsatzlos">
    <w:name w:val="Text (absatzlos)"/>
    <w:basedOn w:val="Text"/>
    <w:rsid w:val="00336DCD"/>
    <w:pPr>
      <w:spacing w:after="0"/>
    </w:pPr>
  </w:style>
  <w:style w:type="paragraph" w:styleId="Kopfzeile">
    <w:name w:val="header"/>
    <w:basedOn w:val="Standard"/>
    <w:link w:val="KopfzeileZchn"/>
    <w:rsid w:val="00336D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D2CC7"/>
    <w:rPr>
      <w:rFonts w:ascii="Book Antiqua" w:hAnsi="Book Antiqua"/>
      <w:sz w:val="24"/>
    </w:rPr>
  </w:style>
  <w:style w:type="paragraph" w:styleId="Fuzeile">
    <w:name w:val="footer"/>
    <w:basedOn w:val="Standard"/>
    <w:link w:val="FuzeileZchn"/>
    <w:uiPriority w:val="99"/>
    <w:rsid w:val="00336D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D2CC7"/>
    <w:rPr>
      <w:rFonts w:ascii="Book Antiqua" w:hAnsi="Book Antiqua"/>
      <w:sz w:val="24"/>
    </w:rPr>
  </w:style>
  <w:style w:type="table" w:customStyle="1" w:styleId="Tabellengitternetz1">
    <w:name w:val="Tabellengitternetz1"/>
    <w:basedOn w:val="NormaleTabelle"/>
    <w:rsid w:val="0033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36DC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ED2C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92492"/>
    <w:rPr>
      <w:rFonts w:ascii="Arial" w:hAnsi="Arial" w:cs="Arial"/>
      <w:color w:val="666666"/>
      <w:sz w:val="12"/>
      <w:szCs w:val="12"/>
    </w:rPr>
  </w:style>
  <w:style w:type="table" w:styleId="Tabellenraster">
    <w:name w:val="Table Grid"/>
    <w:basedOn w:val="NormaleTabelle"/>
    <w:rsid w:val="00A0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1">
    <w:name w:val="Table Simple 1"/>
    <w:basedOn w:val="NormaleTabelle"/>
    <w:rsid w:val="00A03F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A03F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uchterLink">
    <w:name w:val="FollowedHyperlink"/>
    <w:basedOn w:val="Absatz-Standardschriftart"/>
    <w:rsid w:val="003D0E9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3224F"/>
    <w:pPr>
      <w:ind w:left="720"/>
      <w:contextualSpacing/>
    </w:pPr>
  </w:style>
  <w:style w:type="paragraph" w:styleId="berarbeitung">
    <w:name w:val="Revision"/>
    <w:hidden/>
    <w:uiPriority w:val="99"/>
    <w:semiHidden/>
    <w:rsid w:val="00576065"/>
    <w:rPr>
      <w:rFonts w:ascii="Book Antiqua" w:hAnsi="Book Antiqua"/>
      <w:sz w:val="24"/>
    </w:rPr>
  </w:style>
  <w:style w:type="character" w:styleId="Kommentarzeichen">
    <w:name w:val="annotation reference"/>
    <w:basedOn w:val="Absatz-Standardschriftart"/>
    <w:semiHidden/>
    <w:unhideWhenUsed/>
    <w:rsid w:val="00315FA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15F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15FA1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15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15FA1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5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AC86-2CC3-4150-A0E1-4CEDC259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LinksUpToDate>false</LinksUpToDate>
  <CharactersWithSpaces>9709</CharactersWithSpaces>
  <SharedDoc>false</SharedDoc>
  <HLinks>
    <vt:vector size="12" baseType="variant"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http://www.leasingverband.de/</vt:lpwstr>
      </vt:variant>
      <vt:variant>
        <vt:lpwstr/>
      </vt:variant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mailto:schur@leasingverband.de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/>
  <cp:lastModifiedBy/>
  <cp:revision>1</cp:revision>
  <cp:lastPrinted>2008-11-17T11:35:00Z</cp:lastPrinted>
  <dcterms:created xsi:type="dcterms:W3CDTF">2022-03-09T07:05:00Z</dcterms:created>
  <dcterms:modified xsi:type="dcterms:W3CDTF">2022-03-09T07:25:00Z</dcterms:modified>
</cp:coreProperties>
</file>